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DA3A5" w14:textId="77777777" w:rsidR="00867813" w:rsidRDefault="00B15824">
      <w:pPr>
        <w:pStyle w:val="Tytu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14:paraId="52ABD3FF" w14:textId="77777777" w:rsidR="00867813" w:rsidRDefault="00867813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24F0BC6C" w14:textId="77777777" w:rsidR="00867813" w:rsidRDefault="00B15824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 xml:space="preserve">do uchwały w sprawie uchwalenia </w:t>
      </w:r>
      <w:r>
        <w:rPr>
          <w:rFonts w:ascii="Times New Roman" w:hAnsi="Times New Roman" w:cs="Times New Roman"/>
          <w:b/>
        </w:rPr>
        <w:t>miejscowego planu zagospodarowania przestrzennego nr 65</w:t>
      </w:r>
      <w:r>
        <w:rPr>
          <w:rStyle w:val="Domylnaczcionkaakapitu2"/>
          <w:rFonts w:ascii="Times New Roman" w:hAnsi="Times New Roman" w:cs="Times New Roman"/>
          <w:b/>
          <w:bCs/>
        </w:rPr>
        <w:t xml:space="preserve"> miasta Lubina – część A</w:t>
      </w:r>
    </w:p>
    <w:p w14:paraId="42794C75" w14:textId="77777777" w:rsidR="00867813" w:rsidRDefault="00867813">
      <w:pPr>
        <w:pStyle w:val="Standard"/>
        <w:jc w:val="both"/>
        <w:rPr>
          <w:rFonts w:ascii="Times New Roman" w:hAnsi="Times New Roman" w:cs="Times New Roman"/>
          <w:bCs/>
        </w:rPr>
      </w:pPr>
    </w:p>
    <w:p w14:paraId="4276FA72" w14:textId="77777777" w:rsidR="00867813" w:rsidRDefault="00867813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6972CE5D" w14:textId="77777777" w:rsidR="00867813" w:rsidRDefault="00B15824">
      <w:pPr>
        <w:pStyle w:val="Standard"/>
        <w:ind w:firstLine="708"/>
        <w:jc w:val="both"/>
      </w:pPr>
      <w:r>
        <w:rPr>
          <w:rFonts w:ascii="Times New Roman" w:hAnsi="Times New Roman" w:cs="Times New Roman"/>
        </w:rPr>
        <w:t xml:space="preserve">Podstawę do opracowania stanowiła uchwała </w:t>
      </w:r>
      <w:r>
        <w:rPr>
          <w:rFonts w:ascii="Times New Roman" w:hAnsi="Times New Roman" w:cs="Times New Roman"/>
          <w:color w:val="000000"/>
        </w:rPr>
        <w:t>nr XI/106/15 Rady Miejskiej w Lubinie z dnia 20 października 2015 r.</w:t>
      </w:r>
      <w:r>
        <w:rPr>
          <w:rFonts w:ascii="Times New Roman" w:hAnsi="Times New Roman" w:cs="Times New Roman"/>
          <w:bCs/>
          <w:color w:val="000000"/>
        </w:rPr>
        <w:t xml:space="preserve"> w sprawie przystąpienia do sporządzenia </w:t>
      </w:r>
      <w:r>
        <w:rPr>
          <w:rFonts w:ascii="Times New Roman" w:hAnsi="Times New Roman" w:cs="Times New Roman"/>
          <w:color w:val="000000"/>
        </w:rPr>
        <w:t xml:space="preserve">miejscowego planu zagospodarowania przestrzennego </w:t>
      </w:r>
      <w:r>
        <w:rPr>
          <w:rStyle w:val="Domylnaczcionkaakapitu2"/>
          <w:rFonts w:ascii="Times New Roman" w:hAnsi="Times New Roman" w:cs="Times New Roman"/>
          <w:color w:val="000000"/>
        </w:rPr>
        <w:t>miasta Lubina Nr 65</w:t>
      </w:r>
      <w:r>
        <w:rPr>
          <w:rStyle w:val="Domylnaczcionkaakapitu2"/>
          <w:rFonts w:ascii="Times New Roman" w:hAnsi="Times New Roman" w:cs="Times New Roman"/>
          <w:bCs/>
          <w:color w:val="000000"/>
        </w:rPr>
        <w:t xml:space="preserve"> dla obszaru ograniczonego wschodnią granicą pasa drogowego planowanej drogi ekspresowej S-3</w:t>
      </w:r>
      <w:r>
        <w:rPr>
          <w:rStyle w:val="Domylnaczcionkaakapitu13"/>
          <w:rFonts w:ascii="Times New Roman" w:hAnsi="Times New Roman" w:cs="Times New Roman"/>
          <w:bCs/>
          <w:color w:val="000000"/>
        </w:rPr>
        <w:t xml:space="preserve"> do granicy terenu AGP projektowanych i przedstawionych na rysunku studium, południową i wschodnią granicą terenu AGP</w:t>
      </w:r>
      <w:r>
        <w:rPr>
          <w:rStyle w:val="Domylnaczcionkaakapitu2"/>
          <w:rFonts w:ascii="Times New Roman" w:hAnsi="Times New Roman" w:cs="Times New Roman"/>
          <w:bCs/>
          <w:color w:val="000000"/>
        </w:rPr>
        <w:t xml:space="preserve"> położonego w rejonie planowanego węzła Lubin Zachód drogi ekspresowej S-3 do wyznaczonego na rysunku perspektywicznego poszerzenia ulicy Chocianowskiej; wzdłuż wyznaczonego na rysunku perspektywicznego poszerzenia ulicy Chocianowskiej do południowej granicy pasa drogowego Alei Generała Broni Stanisława Maczka; południową granicą pasa drogowego Alei Generała Broni Stanisława Maczka do zachodniej granicy planu miejscowego nr 46; granicą planu miejscowego nr 46 wzdłuż ulicy Legnickiej; granicą planu miejscowego nr 55 wzdłuż ulicy Legnickiej; południowo-wschodnią granicą pasa drogowego ulicy Legnickiej do granicy terenu RL projektowanego i przedstawionego </w:t>
      </w:r>
      <w:r>
        <w:rPr>
          <w:rStyle w:val="Domylnaczcionkaakapitu13"/>
          <w:rFonts w:ascii="Times New Roman" w:hAnsi="Times New Roman" w:cs="Times New Roman"/>
          <w:bCs/>
          <w:color w:val="000000"/>
        </w:rPr>
        <w:t xml:space="preserve">na rysunku studium; granicą terenów AGP, AGP/NU/EE/C; AGP wzdłuż terenu RL do wschodniej granicy </w:t>
      </w:r>
      <w:r>
        <w:rPr>
          <w:rStyle w:val="Domylnaczcionkaakapitu2"/>
          <w:rFonts w:ascii="Times New Roman" w:hAnsi="Times New Roman" w:cs="Times New Roman"/>
          <w:bCs/>
          <w:color w:val="000000"/>
        </w:rPr>
        <w:t>pasa drogowego planowanej drogi ekspresowej S-3</w:t>
      </w:r>
      <w:r>
        <w:rPr>
          <w:rStyle w:val="Domylnaczcionkaakapitu13"/>
          <w:rFonts w:ascii="Times New Roman" w:hAnsi="Times New Roman" w:cs="Times New Roman"/>
          <w:bCs/>
          <w:color w:val="000000"/>
        </w:rPr>
        <w:t xml:space="preserve"> projektowanych i przedstawionych na rysunku studium; położonego</w:t>
      </w:r>
      <w:r>
        <w:rPr>
          <w:rStyle w:val="Domylnaczcionkaakapitu2"/>
          <w:rFonts w:ascii="Times New Roman" w:hAnsi="Times New Roman" w:cs="Times New Roman"/>
          <w:bCs/>
          <w:color w:val="000000"/>
        </w:rPr>
        <w:t xml:space="preserve"> na terenie górniczym „Lubin- Małomice”</w:t>
      </w:r>
      <w:r>
        <w:rPr>
          <w:rStyle w:val="Domylnaczcionkaakapitu5"/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Style w:val="Domylnaczcionkaakapitu2"/>
          <w:rFonts w:ascii="Times New Roman" w:hAnsi="Times New Roman" w:cs="Times New Roman"/>
        </w:rPr>
        <w:t xml:space="preserve">zmieniona uchwałą nr XXX/273/17 Rady Miejskiej w Lubinie z dnia 1 sierpnia 2017 r. w zakresie załącznika graficznego oraz </w:t>
      </w:r>
      <w:r>
        <w:rPr>
          <w:rFonts w:ascii="Times New Roman" w:hAnsi="Times New Roman" w:cs="Times New Roman"/>
        </w:rPr>
        <w:t xml:space="preserve">uchwałą nr </w:t>
      </w:r>
      <w:r>
        <w:rPr>
          <w:rStyle w:val="Domylnaczcionkaakapitu2"/>
          <w:rFonts w:ascii="Times New Roman" w:hAnsi="Times New Roman" w:cs="Times New Roman"/>
        </w:rPr>
        <w:t xml:space="preserve">XXXIII/244/22 </w:t>
      </w:r>
      <w:r>
        <w:rPr>
          <w:rFonts w:ascii="Times New Roman" w:hAnsi="Times New Roman" w:cs="Times New Roman"/>
        </w:rPr>
        <w:t xml:space="preserve">Rady Miejskiej w Lubinie </w:t>
      </w:r>
      <w:r>
        <w:rPr>
          <w:rStyle w:val="Domylnaczcionkaakapitu2"/>
          <w:rFonts w:ascii="Times New Roman" w:hAnsi="Times New Roman" w:cs="Times New Roman"/>
        </w:rPr>
        <w:t>z dnia 29 marca 2022 r., na podstawie której dopuszczono podział planu nr 65 na część A oraz B i oddzielne uchwalenia każdej z tych części.</w:t>
      </w:r>
      <w:r>
        <w:rPr>
          <w:rFonts w:ascii="Times New Roman" w:hAnsi="Times New Roman" w:cs="Times New Roman"/>
        </w:rPr>
        <w:tab/>
      </w:r>
    </w:p>
    <w:p w14:paraId="7463B5A6" w14:textId="77777777" w:rsidR="00867813" w:rsidRDefault="00867813">
      <w:pPr>
        <w:pStyle w:val="Textbody"/>
        <w:rPr>
          <w:rFonts w:ascii="Times New Roman" w:hAnsi="Times New Roman" w:cs="Times New Roman"/>
        </w:rPr>
      </w:pPr>
    </w:p>
    <w:p w14:paraId="303CA8C7" w14:textId="77777777" w:rsidR="00867813" w:rsidRDefault="00B15824">
      <w:pPr>
        <w:pStyle w:val="Textbod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planu sporządzono zgodnie z wymaganiami określonymi w art. 15 ustawy z dnia 27 marca 2003 r. o planowaniu i zagospodarowaniu przestrzennym (t. j. Dz. U. z 2022 r., poz. 503) oraz zgodnie z wymaganą procedurą formalno-prawną, zawartą w art. 17 tej ustawy, a także zgodnie z przepisami odrębnymi.</w:t>
      </w:r>
    </w:p>
    <w:p w14:paraId="22239D5B" w14:textId="77777777" w:rsidR="00867813" w:rsidRDefault="00867813">
      <w:pPr>
        <w:pStyle w:val="Textbody"/>
        <w:ind w:firstLine="540"/>
        <w:rPr>
          <w:rFonts w:ascii="Times New Roman" w:hAnsi="Times New Roman" w:cs="Times New Roman"/>
        </w:rPr>
      </w:pPr>
    </w:p>
    <w:p w14:paraId="0F9A09F4" w14:textId="2EDE719C" w:rsidR="004915B5" w:rsidRDefault="004915B5" w:rsidP="004915B5">
      <w:pPr>
        <w:pStyle w:val="Textbody"/>
        <w:tabs>
          <w:tab w:val="left" w:pos="-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Studium uwarunkowań i kierunków zagospodarowania przestrzennego miasta Lubina uchwalonym uchwałą Rady Miejskiej w  Lubinie Nr XXXVIII/274/22 z dnia 23.08.2022 r. określono dla </w:t>
      </w:r>
      <w:r w:rsidR="008C582B">
        <w:rPr>
          <w:rFonts w:ascii="Times New Roman" w:hAnsi="Times New Roman" w:cs="Times New Roman"/>
        </w:rPr>
        <w:t xml:space="preserve">obszaru planu dla </w:t>
      </w:r>
      <w:r w:rsidR="009409C9">
        <w:rPr>
          <w:rFonts w:ascii="Times New Roman" w:hAnsi="Times New Roman" w:cs="Times New Roman"/>
        </w:rPr>
        <w:t>części A</w:t>
      </w:r>
      <w:r>
        <w:rPr>
          <w:rFonts w:ascii="Times New Roman" w:hAnsi="Times New Roman" w:cs="Times New Roman"/>
        </w:rPr>
        <w:t xml:space="preserve"> następujące kierunki rozwoju:</w:t>
      </w:r>
    </w:p>
    <w:p w14:paraId="0B0112A0" w14:textId="01FDEA16" w:rsidR="00867813" w:rsidRDefault="00B15824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 – teren aktywności gospodarczej</w:t>
      </w:r>
      <w:r w:rsidR="009409C9">
        <w:rPr>
          <w:rFonts w:ascii="Times New Roman" w:hAnsi="Times New Roman" w:cs="Times New Roman"/>
        </w:rPr>
        <w:t>,</w:t>
      </w:r>
    </w:p>
    <w:p w14:paraId="43344C48" w14:textId="5D410BE9" w:rsidR="00867813" w:rsidRDefault="00B15824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– teren usł</w:t>
      </w:r>
      <w:r w:rsidR="009409C9">
        <w:rPr>
          <w:rFonts w:ascii="Times New Roman" w:hAnsi="Times New Roman" w:cs="Times New Roman"/>
        </w:rPr>
        <w:t xml:space="preserve">ug, </w:t>
      </w:r>
    </w:p>
    <w:p w14:paraId="485F3CEC" w14:textId="2DF8CBD4" w:rsidR="00867813" w:rsidRDefault="009409C9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B15824">
        <w:rPr>
          <w:rFonts w:ascii="Times New Roman" w:hAnsi="Times New Roman" w:cs="Times New Roman"/>
        </w:rPr>
        <w:t>U – teren zabudowy mieszkaniowo-usługowej</w:t>
      </w:r>
      <w:r>
        <w:rPr>
          <w:rFonts w:ascii="Times New Roman" w:hAnsi="Times New Roman" w:cs="Times New Roman"/>
        </w:rPr>
        <w:t xml:space="preserve">, </w:t>
      </w:r>
    </w:p>
    <w:p w14:paraId="260A4478" w14:textId="0165DFDD" w:rsidR="009409C9" w:rsidRDefault="00B15824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 – teren zieleni urządzonej</w:t>
      </w:r>
      <w:r w:rsidR="009409C9">
        <w:rPr>
          <w:rFonts w:ascii="Times New Roman" w:hAnsi="Times New Roman" w:cs="Times New Roman"/>
        </w:rPr>
        <w:t>,</w:t>
      </w:r>
    </w:p>
    <w:p w14:paraId="4E45ABE3" w14:textId="207032DD" w:rsidR="009409C9" w:rsidRDefault="009409C9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ZI – teren zieleni izolacyjnej,</w:t>
      </w:r>
    </w:p>
    <w:p w14:paraId="08B1109D" w14:textId="4D3BC8C3" w:rsidR="00867813" w:rsidRDefault="009409C9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 – teren wód powierzchniowych śródlądowych, </w:t>
      </w:r>
    </w:p>
    <w:p w14:paraId="0BD71993" w14:textId="1F8D3F58" w:rsidR="00867813" w:rsidRDefault="00B15824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ulice publiczne</w:t>
      </w:r>
      <w:r w:rsidR="009409C9">
        <w:rPr>
          <w:rFonts w:ascii="Times New Roman" w:hAnsi="Times New Roman" w:cs="Times New Roman"/>
        </w:rPr>
        <w:t xml:space="preserve"> klas GP, Z, </w:t>
      </w:r>
    </w:p>
    <w:p w14:paraId="6074A8C0" w14:textId="76632EC8" w:rsidR="00867813" w:rsidRPr="008C582B" w:rsidRDefault="009409C9" w:rsidP="008C582B">
      <w:pPr>
        <w:pStyle w:val="Textbody"/>
        <w:numPr>
          <w:ilvl w:val="0"/>
          <w:numId w:val="10"/>
        </w:numPr>
        <w:tabs>
          <w:tab w:val="left" w:pos="-68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KK - </w:t>
      </w:r>
      <w:r w:rsidR="00B15824">
        <w:rPr>
          <w:rFonts w:ascii="Times New Roman" w:hAnsi="Times New Roman" w:cs="Times New Roman"/>
        </w:rPr>
        <w:t>linia kolejowa</w:t>
      </w:r>
      <w:r w:rsidR="00B15824" w:rsidRPr="008C582B">
        <w:rPr>
          <w:rFonts w:ascii="Times New Roman" w:hAnsi="Times New Roman" w:cs="Times New Roman"/>
        </w:rPr>
        <w:t>.</w:t>
      </w:r>
    </w:p>
    <w:p w14:paraId="767AC0E9" w14:textId="77777777" w:rsidR="00867813" w:rsidRDefault="00B15824">
      <w:pPr>
        <w:pStyle w:val="NormalnyWeb"/>
        <w:ind w:firstLine="709"/>
        <w:jc w:val="both"/>
      </w:pPr>
      <w:r>
        <w:t>Plan nie narusza ustaleń w/w Studium uwarunkowań i kierunków zagospodarowania przestrzennego miasta Lubina, bowiem teren przeznacza się na w/w funkcje.</w:t>
      </w:r>
    </w:p>
    <w:p w14:paraId="5E47B1D0" w14:textId="67927DCE" w:rsidR="00867813" w:rsidRDefault="00B15824">
      <w:pPr>
        <w:pStyle w:val="NormalnyWeb"/>
        <w:ind w:firstLine="709"/>
        <w:jc w:val="both"/>
      </w:pPr>
      <w:r>
        <w:rPr>
          <w:bCs/>
        </w:rPr>
        <w:t>Obszar planu</w:t>
      </w:r>
      <w:r w:rsidR="008C582B">
        <w:rPr>
          <w:bCs/>
        </w:rPr>
        <w:t xml:space="preserve"> (część A i B)</w:t>
      </w:r>
      <w:r>
        <w:rPr>
          <w:bCs/>
        </w:rPr>
        <w:t xml:space="preserve"> </w:t>
      </w:r>
      <w:r>
        <w:rPr>
          <w:kern w:val="0"/>
        </w:rPr>
        <w:t xml:space="preserve">położony jest w południowej części miasta Lubin, w rejonie </w:t>
      </w:r>
      <w:r>
        <w:rPr>
          <w:rStyle w:val="Domylnaczcionkaakapitu2"/>
          <w:bCs/>
          <w:color w:val="000000"/>
        </w:rPr>
        <w:t xml:space="preserve">ulic Chocianowskiej, Alei Generała Broni Stanisława Maczka, Legnickiej oraz południowej </w:t>
      </w:r>
      <w:r>
        <w:rPr>
          <w:rStyle w:val="Domylnaczcionkaakapitu2"/>
          <w:bCs/>
          <w:color w:val="000000"/>
        </w:rPr>
        <w:lastRenderedPageBreak/>
        <w:t>granicy miasta</w:t>
      </w:r>
      <w:r>
        <w:rPr>
          <w:bCs/>
        </w:rPr>
        <w:t xml:space="preserve"> i jest częściowo zainwestowany. Dotychczas, na </w:t>
      </w:r>
      <w:r w:rsidR="008C582B">
        <w:rPr>
          <w:bCs/>
        </w:rPr>
        <w:t xml:space="preserve">większości </w:t>
      </w:r>
      <w:r>
        <w:rPr>
          <w:bCs/>
        </w:rPr>
        <w:t>obszar</w:t>
      </w:r>
      <w:r w:rsidR="008C582B">
        <w:rPr>
          <w:bCs/>
        </w:rPr>
        <w:t>u</w:t>
      </w:r>
      <w:r>
        <w:rPr>
          <w:bCs/>
        </w:rPr>
        <w:t xml:space="preserve"> obowiązywał miejscowy plan zagospodarowania przestrzennego miasta Lubina nr 13</w:t>
      </w:r>
      <w:r w:rsidR="008C582B">
        <w:rPr>
          <w:bCs/>
        </w:rPr>
        <w:t>, a na części obszaru nie obowiązywał plan miejscowy</w:t>
      </w:r>
      <w:r>
        <w:rPr>
          <w:bCs/>
        </w:rPr>
        <w:t>. Celem sporządzenia miejscowego planu zagospodarowania przestrzennego nr 65 jest dostosowanie przeznaczenia terenu oraz wskaźników zagospodarowania terenu do aktualnych potrzeb społeczno-gospodarczych.</w:t>
      </w:r>
    </w:p>
    <w:p w14:paraId="7F7D6C79" w14:textId="77777777" w:rsidR="00867813" w:rsidRDefault="00867813">
      <w:pPr>
        <w:pStyle w:val="Textbody"/>
        <w:ind w:firstLine="360"/>
        <w:rPr>
          <w:rFonts w:ascii="Times New Roman" w:hAnsi="Times New Roman" w:cs="Times New Roman"/>
        </w:rPr>
      </w:pPr>
    </w:p>
    <w:p w14:paraId="09B75E17" w14:textId="13FA7C13" w:rsidR="00867813" w:rsidRDefault="00B15824">
      <w:pPr>
        <w:pStyle w:val="Textbody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wymaganiami ustawy z dnia 3 października 2008 r. o udostępnianiu informacji o środowisku i jego ochronie, udziale społeczeństwa w ochronie środowiska oraz o ocenach oddziaływania na środowisko </w:t>
      </w:r>
      <w:r w:rsidR="00467B11">
        <w:rPr>
          <w:rFonts w:ascii="Times New Roman" w:hAnsi="Times New Roman" w:cs="Times New Roman"/>
        </w:rPr>
        <w:t xml:space="preserve">(t. j. Dz. U. z 2022 r., poz. 1029 ze zm.) </w:t>
      </w:r>
      <w:r>
        <w:rPr>
          <w:rFonts w:ascii="Times New Roman" w:hAnsi="Times New Roman" w:cs="Times New Roman"/>
        </w:rPr>
        <w:t>została przeprowadzona strategiczna ocena oddziaływania projektu planu na środowisko:</w:t>
      </w:r>
    </w:p>
    <w:p w14:paraId="5AA13CD8" w14:textId="77777777" w:rsidR="00867813" w:rsidRDefault="00B15824">
      <w:pPr>
        <w:pStyle w:val="Textbody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uzgodniono zakres i stopień szczegółowości informacji wymaganych w prognozie oddziaływania na środowisko miejscowego planu zagospodarowania przestrzennego z Regionalnym Dyrektorem Ochrony Środowiska we Wrocławiu oraz z Państwowym Powiatowym Inspektorem Sanitarnym w Lubinie, przy czym uzgodnienie dotyczyło całego obszaru planu nr 65 (przed podziałem na części A i B),</w:t>
      </w:r>
    </w:p>
    <w:p w14:paraId="76A815EA" w14:textId="03D24A21" w:rsidR="00867813" w:rsidRDefault="00B15824">
      <w:pPr>
        <w:pStyle w:val="Textbody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planu wraz z prognozą oddziaływania na środowisko został przedłożony w/w organom do zaopiniowania</w:t>
      </w:r>
      <w:r w:rsidR="00467B11">
        <w:rPr>
          <w:rFonts w:ascii="Times New Roman" w:hAnsi="Times New Roman" w:cs="Times New Roman"/>
        </w:rPr>
        <w:t>.</w:t>
      </w:r>
    </w:p>
    <w:p w14:paraId="03A7F01E" w14:textId="77777777" w:rsidR="00467B11" w:rsidRDefault="00467B11" w:rsidP="00467B11">
      <w:pPr>
        <w:pStyle w:val="Textbody"/>
        <w:rPr>
          <w:rFonts w:ascii="Times New Roman" w:hAnsi="Times New Roman" w:cs="Times New Roman"/>
        </w:rPr>
      </w:pPr>
    </w:p>
    <w:p w14:paraId="35728CEF" w14:textId="7C4F2769" w:rsidR="00467B11" w:rsidRDefault="00467B11" w:rsidP="00467B11">
      <w:pPr>
        <w:pStyle w:val="Textbod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dniu 29 marca 2022 r. uchwałą nr </w:t>
      </w:r>
      <w:r>
        <w:rPr>
          <w:rStyle w:val="Domylnaczcionkaakapitu2"/>
          <w:rFonts w:ascii="Times New Roman" w:hAnsi="Times New Roman" w:cs="Times New Roman"/>
        </w:rPr>
        <w:t xml:space="preserve">XXXIII/244/22 </w:t>
      </w:r>
      <w:r>
        <w:rPr>
          <w:rFonts w:ascii="Times New Roman" w:hAnsi="Times New Roman" w:cs="Times New Roman"/>
        </w:rPr>
        <w:t>Rady Miejskiej w Lubinie</w:t>
      </w:r>
      <w:r w:rsidRPr="00467B11">
        <w:rPr>
          <w:rStyle w:val="Domylnaczcionkaakapitu2"/>
          <w:rFonts w:ascii="Times New Roman" w:hAnsi="Times New Roman" w:cs="Times New Roman"/>
        </w:rPr>
        <w:t xml:space="preserve"> </w:t>
      </w:r>
      <w:r>
        <w:rPr>
          <w:rStyle w:val="Domylnaczcionkaakapitu2"/>
          <w:rFonts w:ascii="Times New Roman" w:hAnsi="Times New Roman" w:cs="Times New Roman"/>
        </w:rPr>
        <w:t>dopuszczono podział planu nr 65 na część A oraz B i oddzielne uchwalenia każdej z tych części.</w:t>
      </w:r>
    </w:p>
    <w:p w14:paraId="690B4BF5" w14:textId="77777777" w:rsidR="00467B11" w:rsidRDefault="00467B11" w:rsidP="00467B11">
      <w:pPr>
        <w:pStyle w:val="Textbody"/>
        <w:rPr>
          <w:rFonts w:ascii="Times New Roman" w:hAnsi="Times New Roman" w:cs="Times New Roman"/>
        </w:rPr>
      </w:pPr>
    </w:p>
    <w:p w14:paraId="4ACA4DCE" w14:textId="18B7A39A" w:rsidR="00CF627E" w:rsidRDefault="00467B11" w:rsidP="00467B11">
      <w:pPr>
        <w:pStyle w:val="Textbod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15824">
        <w:rPr>
          <w:rFonts w:ascii="Times New Roman" w:hAnsi="Times New Roman" w:cs="Times New Roman"/>
        </w:rPr>
        <w:t xml:space="preserve">rojekt planu </w:t>
      </w:r>
      <w:r w:rsidR="004915B5">
        <w:rPr>
          <w:rFonts w:ascii="Times New Roman" w:hAnsi="Times New Roman" w:cs="Times New Roman"/>
        </w:rPr>
        <w:t xml:space="preserve">dla części A </w:t>
      </w:r>
      <w:r w:rsidR="00B15824">
        <w:rPr>
          <w:rFonts w:ascii="Times New Roman" w:hAnsi="Times New Roman" w:cs="Times New Roman"/>
        </w:rPr>
        <w:t>wraz z prognozą oddziaływania na środowisko został wyłożony do publicznego wglądu</w:t>
      </w:r>
      <w:r w:rsidR="00CF627E">
        <w:rPr>
          <w:rFonts w:ascii="Times New Roman" w:hAnsi="Times New Roman" w:cs="Times New Roman"/>
        </w:rPr>
        <w:t>:</w:t>
      </w:r>
      <w:r w:rsidR="00B15824">
        <w:rPr>
          <w:rFonts w:ascii="Times New Roman" w:hAnsi="Times New Roman" w:cs="Times New Roman"/>
        </w:rPr>
        <w:t xml:space="preserve"> </w:t>
      </w:r>
    </w:p>
    <w:p w14:paraId="295D9DFB" w14:textId="06E54DF1" w:rsidR="00867813" w:rsidRDefault="00CF627E" w:rsidP="00CF627E">
      <w:pPr>
        <w:pStyle w:val="Textbody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dniach</w:t>
      </w:r>
      <w:r>
        <w:rPr>
          <w:rStyle w:val="Domylnaczcionkaakapitu4"/>
          <w:rFonts w:ascii="Times New Roman" w:hAnsi="Times New Roman" w:cs="Times New Roman"/>
        </w:rPr>
        <w:t xml:space="preserve"> o</w:t>
      </w:r>
      <w:r w:rsidR="00B15824">
        <w:rPr>
          <w:rStyle w:val="Domylnaczcionkaakapitu4"/>
          <w:rFonts w:ascii="Times New Roman" w:hAnsi="Times New Roman" w:cs="Times New Roman"/>
        </w:rPr>
        <w:t>d 4 lipca 2022 r. do 2 sierpnia 2022 r.</w:t>
      </w:r>
      <w:r w:rsidR="00B15824">
        <w:rPr>
          <w:rStyle w:val="Domylnaczcionkaakapitu4"/>
        </w:rPr>
        <w:t xml:space="preserve"> </w:t>
      </w:r>
      <w:r w:rsidR="00B15824">
        <w:rPr>
          <w:rFonts w:ascii="Times New Roman" w:hAnsi="Times New Roman" w:cs="Times New Roman"/>
        </w:rPr>
        <w:t>i umożliwiono zainteresowanym składanie uwag do projektu planu oraz prognozy. W trakcie wyłożenia, dnia 14 lipca 2022 r.</w:t>
      </w:r>
      <w:r w:rsidR="00B15824">
        <w:rPr>
          <w:rFonts w:ascii="Times New Roman" w:hAnsi="Times New Roman" w:cs="Times New Roman"/>
          <w:bCs/>
        </w:rPr>
        <w:t xml:space="preserve"> </w:t>
      </w:r>
      <w:r w:rsidR="00B15824">
        <w:rPr>
          <w:rFonts w:ascii="Times New Roman" w:hAnsi="Times New Roman" w:cs="Times New Roman"/>
        </w:rPr>
        <w:t>odbyła się dyskusja publiczna nad przyjętymi w projekcie planu rozwiązaniami. Z dyskusji publicznej sporządzono protokół dostępny do publicznego wglądu. Do projektu planu nie wniesiono uwag.</w:t>
      </w:r>
    </w:p>
    <w:p w14:paraId="23805E4A" w14:textId="4ED2E536" w:rsidR="00CF627E" w:rsidRDefault="00CF627E" w:rsidP="00CF627E">
      <w:pPr>
        <w:pStyle w:val="Textbody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dniach</w:t>
      </w:r>
      <w:r>
        <w:rPr>
          <w:rStyle w:val="Domylnaczcionkaakapitu4"/>
          <w:rFonts w:ascii="Times New Roman" w:hAnsi="Times New Roman" w:cs="Times New Roman"/>
        </w:rPr>
        <w:t xml:space="preserve"> od </w:t>
      </w:r>
      <w:r>
        <w:rPr>
          <w:rStyle w:val="Domylnaczcionkaakapitu4"/>
          <w:rFonts w:ascii="Times New Roman" w:hAnsi="Times New Roman" w:cs="Times New Roman"/>
        </w:rPr>
        <w:t>20 października</w:t>
      </w:r>
      <w:r>
        <w:rPr>
          <w:rStyle w:val="Domylnaczcionkaakapitu4"/>
          <w:rFonts w:ascii="Times New Roman" w:hAnsi="Times New Roman" w:cs="Times New Roman"/>
        </w:rPr>
        <w:t xml:space="preserve"> 2022 r. do </w:t>
      </w:r>
      <w:r>
        <w:rPr>
          <w:rStyle w:val="Domylnaczcionkaakapitu4"/>
          <w:rFonts w:ascii="Times New Roman" w:hAnsi="Times New Roman" w:cs="Times New Roman"/>
        </w:rPr>
        <w:t>9</w:t>
      </w:r>
      <w:r>
        <w:rPr>
          <w:rStyle w:val="Domylnaczcionkaakapitu4"/>
          <w:rFonts w:ascii="Times New Roman" w:hAnsi="Times New Roman" w:cs="Times New Roman"/>
        </w:rPr>
        <w:t xml:space="preserve"> </w:t>
      </w:r>
      <w:r>
        <w:rPr>
          <w:rStyle w:val="Domylnaczcionkaakapitu4"/>
          <w:rFonts w:ascii="Times New Roman" w:hAnsi="Times New Roman" w:cs="Times New Roman"/>
        </w:rPr>
        <w:t>listopad</w:t>
      </w:r>
      <w:r>
        <w:rPr>
          <w:rStyle w:val="Domylnaczcionkaakapitu4"/>
          <w:rFonts w:ascii="Times New Roman" w:hAnsi="Times New Roman" w:cs="Times New Roman"/>
        </w:rPr>
        <w:t>a 2022 r.</w:t>
      </w:r>
      <w:r>
        <w:rPr>
          <w:rStyle w:val="Domylnaczcionkaakapitu4"/>
          <w:rFonts w:ascii="Times New Roman" w:hAnsi="Times New Roman" w:cs="Times New Roman"/>
        </w:rPr>
        <w:t>, ze względu na wprowadzenie zmian w zakresie wysokości zabudowy oraz dopuszczenie rekreacji i terenowych obiektów sportowych na terenach ZP</w:t>
      </w:r>
      <w:r>
        <w:rPr>
          <w:rStyle w:val="Domylnaczcionkaakapitu4"/>
        </w:rPr>
        <w:t>. Z</w:t>
      </w:r>
      <w:r>
        <w:rPr>
          <w:rFonts w:ascii="Times New Roman" w:hAnsi="Times New Roman" w:cs="Times New Roman"/>
        </w:rPr>
        <w:t xml:space="preserve">ainteresowanym </w:t>
      </w:r>
      <w:r>
        <w:rPr>
          <w:rFonts w:ascii="Times New Roman" w:hAnsi="Times New Roman" w:cs="Times New Roman"/>
        </w:rPr>
        <w:t xml:space="preserve">umożliwiono </w:t>
      </w:r>
      <w:r>
        <w:rPr>
          <w:rFonts w:ascii="Times New Roman" w:hAnsi="Times New Roman" w:cs="Times New Roman"/>
        </w:rPr>
        <w:t xml:space="preserve">składanie uwag do projektu planu oraz prognozy. W trakcie wyłożenia, dnia </w:t>
      </w:r>
      <w:r>
        <w:rPr>
          <w:rFonts w:ascii="Times New Roman" w:hAnsi="Times New Roman" w:cs="Times New Roman"/>
        </w:rPr>
        <w:t>28 października</w:t>
      </w:r>
      <w:r>
        <w:rPr>
          <w:rFonts w:ascii="Times New Roman" w:hAnsi="Times New Roman" w:cs="Times New Roman"/>
        </w:rPr>
        <w:t xml:space="preserve"> 2022 r.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odbyła się dyskusja publiczna nad przyjętymi w projekcie planu rozwiązaniami. Z dyskusji publicznej sporządzono protokół dostępny do publicznego wglądu. Do projektu planu </w:t>
      </w:r>
      <w:r>
        <w:rPr>
          <w:rFonts w:ascii="Times New Roman" w:hAnsi="Times New Roman" w:cs="Times New Roman"/>
        </w:rPr>
        <w:t>wniesiono … uwag/</w:t>
      </w:r>
      <w:r>
        <w:rPr>
          <w:rFonts w:ascii="Times New Roman" w:hAnsi="Times New Roman" w:cs="Times New Roman"/>
        </w:rPr>
        <w:t>nie wniesiono uwag.</w:t>
      </w:r>
    </w:p>
    <w:p w14:paraId="49D7A0E7" w14:textId="77777777" w:rsidR="00CF627E" w:rsidRDefault="00CF627E" w:rsidP="00467B11">
      <w:pPr>
        <w:pStyle w:val="Textbody"/>
      </w:pPr>
    </w:p>
    <w:p w14:paraId="07827649" w14:textId="77777777" w:rsidR="00867813" w:rsidRDefault="00867813">
      <w:pPr>
        <w:pStyle w:val="Textbody"/>
        <w:rPr>
          <w:rFonts w:ascii="Times New Roman" w:hAnsi="Times New Roman" w:cs="Times New Roman"/>
        </w:rPr>
      </w:pPr>
    </w:p>
    <w:p w14:paraId="330088AA" w14:textId="77777777" w:rsidR="00867813" w:rsidRDefault="00B15824">
      <w:pPr>
        <w:pStyle w:val="NormalnyWeb"/>
        <w:jc w:val="both"/>
      </w:pPr>
      <w:r>
        <w:t>W planie uwzględniono wymagania, określone w art. 1 ust. 2 ustawy o planowaniu i zagospodarowaniu przestrzennym w  następujący sposób:</w:t>
      </w:r>
    </w:p>
    <w:p w14:paraId="3687B9CD" w14:textId="77777777" w:rsidR="00867813" w:rsidRDefault="00B15824">
      <w:pPr>
        <w:pStyle w:val="NormalnyWeb"/>
        <w:numPr>
          <w:ilvl w:val="0"/>
          <w:numId w:val="12"/>
        </w:numPr>
        <w:spacing w:before="0" w:after="0"/>
        <w:jc w:val="both"/>
      </w:pPr>
      <w:r>
        <w:t>Wymagania ładu przestrzennego, w tym urbanistyki i architektury - wprowadzając ustalenia dotyczące kształtowania zabudowy i zagospodarowania terenu oraz parametry i wskaźniki kształtowania zabudowy i zagospodarowania terenu poprzez określenie nieprzekraczalnych linii zabudowy, maksymalnej wysokości zabudowy, kąta nachylenia połaci dachowej budynków, wskaźników intensywności zabudowy, maksymalnej powierzchni zabudowy, minimalnej powierzchni biologicznie czynnej.</w:t>
      </w:r>
    </w:p>
    <w:p w14:paraId="0FEFB15C" w14:textId="77777777" w:rsidR="00867813" w:rsidRDefault="00867813">
      <w:pPr>
        <w:pStyle w:val="NormalnyWeb"/>
        <w:spacing w:before="0" w:after="0"/>
        <w:ind w:left="720"/>
        <w:jc w:val="both"/>
      </w:pPr>
    </w:p>
    <w:p w14:paraId="7973DFA0" w14:textId="0AFAA05A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 xml:space="preserve">Walory architektoniczne i krajobrazowe – poprzez </w:t>
      </w:r>
      <w:r w:rsidR="00467B11">
        <w:t>wyznaczenie</w:t>
      </w:r>
      <w:r>
        <w:t xml:space="preserve"> terenów zieleni urządzonej</w:t>
      </w:r>
      <w:r w:rsidR="00467B11">
        <w:t xml:space="preserve">, zieleni izolacyjnej, </w:t>
      </w:r>
      <w:r w:rsidR="00A72B68">
        <w:t xml:space="preserve">zachowanie </w:t>
      </w:r>
      <w:r w:rsidR="00467B11">
        <w:t>istniejących lasów oraz potoku Baczyna</w:t>
      </w:r>
      <w:r w:rsidR="00A72B68">
        <w:t xml:space="preserve"> i cieku </w:t>
      </w:r>
      <w:r w:rsidR="00A72B68">
        <w:lastRenderedPageBreak/>
        <w:t>wodnego</w:t>
      </w:r>
      <w:r>
        <w:t>,</w:t>
      </w:r>
      <w:r w:rsidR="00A72B68">
        <w:t xml:space="preserve"> a ponadto określenie</w:t>
      </w:r>
      <w:r>
        <w:t xml:space="preserve"> ustale</w:t>
      </w:r>
      <w:r w:rsidR="00A72B68">
        <w:t>ń</w:t>
      </w:r>
      <w:r>
        <w:t xml:space="preserve"> opisan</w:t>
      </w:r>
      <w:r w:rsidR="00A72B68">
        <w:t>ych</w:t>
      </w:r>
      <w:r>
        <w:t xml:space="preserve"> w pkt 1, a ponadto – dopuszczenie zachowania istniejących rodzinnych ogrodów działkowych i zakaz lokalizacji urządzeń wytwarzających energię z energii wiatru.</w:t>
      </w:r>
    </w:p>
    <w:p w14:paraId="6D56E8B8" w14:textId="77777777" w:rsidR="00867813" w:rsidRDefault="00867813">
      <w:pPr>
        <w:pStyle w:val="NormalnyWeb"/>
        <w:spacing w:before="0" w:after="0"/>
        <w:ind w:left="720"/>
        <w:jc w:val="both"/>
      </w:pPr>
    </w:p>
    <w:p w14:paraId="3A2AD4C1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Wymagania ochrony środowiska, w tym gospodarowania wodami i ochrony gruntów rolnych i leśnych poprzez:</w:t>
      </w:r>
    </w:p>
    <w:p w14:paraId="1830B7F9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>ustalenia</w:t>
      </w:r>
      <w:r>
        <w:rPr>
          <w:b/>
          <w:bCs/>
        </w:rPr>
        <w:t xml:space="preserve"> </w:t>
      </w:r>
      <w:r>
        <w:t>zakazujące na terenach MN/U i MU lokalizacji przedsięwzięć mogących znacząco oddziaływać na środowisko, z  wyłączeniem przedsięwzięć związanych z lokalizacją infrastruktury technicznej i komunikacji, przedsięwzięć, polegających na wydobywaniu rudy miedzi metodą podziemną, z uwzględnieniem filarów ochronnych, zgodnie z przepisami odrębnymi;</w:t>
      </w:r>
    </w:p>
    <w:p w14:paraId="200E865A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>uwzględnienie Planu gospodarowania wodami na obszarze dorzecza Odry;</w:t>
      </w:r>
    </w:p>
    <w:p w14:paraId="6844FBB1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>dopuszczenie realizacji zbiorników retencyjnych na obszarze planu;</w:t>
      </w:r>
    </w:p>
    <w:p w14:paraId="39789CB4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 xml:space="preserve">uwzględnienie udokumentowanych złóż: </w:t>
      </w:r>
    </w:p>
    <w:p w14:paraId="63207257" w14:textId="77777777" w:rsidR="00867813" w:rsidRDefault="00B15824">
      <w:pPr>
        <w:pStyle w:val="Tekstpodstawowy"/>
        <w:widowControl/>
        <w:numPr>
          <w:ilvl w:val="0"/>
          <w:numId w:val="13"/>
        </w:numPr>
        <w:spacing w:after="0"/>
        <w:jc w:val="both"/>
        <w:textAlignment w:val="auto"/>
      </w:pPr>
      <w:r>
        <w:rPr>
          <w:rFonts w:ascii="Times New Roman" w:hAnsi="Times New Roman" w:cs="Times New Roman"/>
          <w:szCs w:val="24"/>
        </w:rPr>
        <w:t>rudy miedzi – złoże „Lubin - Małomice” RM 22;</w:t>
      </w:r>
    </w:p>
    <w:p w14:paraId="6ECF6259" w14:textId="77777777" w:rsidR="00867813" w:rsidRDefault="00B15824">
      <w:pPr>
        <w:pStyle w:val="Tekstpodstawowy"/>
        <w:widowControl/>
        <w:numPr>
          <w:ilvl w:val="0"/>
          <w:numId w:val="13"/>
        </w:numPr>
        <w:spacing w:after="0"/>
        <w:jc w:val="both"/>
        <w:textAlignment w:val="auto"/>
      </w:pPr>
      <w:r>
        <w:rPr>
          <w:rFonts w:ascii="Times New Roman" w:hAnsi="Times New Roman" w:cs="Times New Roman"/>
          <w:szCs w:val="24"/>
        </w:rPr>
        <w:t xml:space="preserve">węgla brunatnego „Ścinawa” WB 440; </w:t>
      </w:r>
    </w:p>
    <w:p w14:paraId="24FCDC02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>ustalenia dotyczące gospodarki odpadami oraz odbioru ścieków;</w:t>
      </w:r>
    </w:p>
    <w:p w14:paraId="1390ECF4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 xml:space="preserve">określenie lokalizacji chronionych elementów środowiska naturalnego: </w:t>
      </w:r>
    </w:p>
    <w:p w14:paraId="39DF1745" w14:textId="13DDCA20" w:rsidR="00867813" w:rsidRDefault="00B15824">
      <w:pPr>
        <w:pStyle w:val="NormalnyWeb"/>
        <w:numPr>
          <w:ilvl w:val="2"/>
          <w:numId w:val="14"/>
        </w:numPr>
        <w:spacing w:before="0" w:after="0"/>
        <w:jc w:val="both"/>
      </w:pPr>
      <w:r>
        <w:t xml:space="preserve">stanowisko chronionych gatunków ssaków na terenach </w:t>
      </w:r>
      <w:r w:rsidR="00A72B68">
        <w:t>1TI, 1</w:t>
      </w:r>
      <w:r w:rsidR="00A72B68" w:rsidRPr="000333F2">
        <w:t>Z</w:t>
      </w:r>
      <w:r w:rsidR="00A72B68">
        <w:t>P i 4ZP/TI</w:t>
      </w:r>
      <w:r>
        <w:t>;</w:t>
      </w:r>
    </w:p>
    <w:p w14:paraId="3E8C889C" w14:textId="4CF656BC" w:rsidR="00867813" w:rsidRDefault="00B15824">
      <w:pPr>
        <w:pStyle w:val="NormalnyWeb"/>
        <w:numPr>
          <w:ilvl w:val="2"/>
          <w:numId w:val="14"/>
        </w:numPr>
        <w:spacing w:before="0" w:after="0"/>
        <w:jc w:val="both"/>
      </w:pPr>
      <w:r>
        <w:t xml:space="preserve">stanowisko chronionych ptaków na terenach </w:t>
      </w:r>
      <w:r w:rsidR="00A72B68">
        <w:t>10</w:t>
      </w:r>
      <w:r w:rsidR="00A72B68" w:rsidRPr="000333F2">
        <w:t>U,</w:t>
      </w:r>
      <w:r w:rsidR="00A72B68">
        <w:t xml:space="preserve"> 9ZI i</w:t>
      </w:r>
      <w:r w:rsidR="00A72B68" w:rsidRPr="000333F2">
        <w:t xml:space="preserve"> </w:t>
      </w:r>
      <w:r w:rsidR="00A72B68">
        <w:t>3</w:t>
      </w:r>
      <w:r w:rsidR="00A72B68" w:rsidRPr="000333F2">
        <w:t>ZL</w:t>
      </w:r>
      <w:r>
        <w:t>;</w:t>
      </w:r>
    </w:p>
    <w:p w14:paraId="30619AA5" w14:textId="77777777" w:rsidR="00867813" w:rsidRDefault="00B15824">
      <w:pPr>
        <w:pStyle w:val="NormalnyWeb"/>
        <w:numPr>
          <w:ilvl w:val="2"/>
          <w:numId w:val="14"/>
        </w:numPr>
        <w:spacing w:before="0" w:after="0"/>
        <w:jc w:val="both"/>
      </w:pPr>
      <w:r>
        <w:t>stanowisko chronionych ryb na terenach 1WS, 2WS, 7WS;</w:t>
      </w:r>
    </w:p>
    <w:p w14:paraId="2B767AD8" w14:textId="016B270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>utrzymanie przeznaczenia leśnego dla istniejących użytków leśnych</w:t>
      </w:r>
      <w:r w:rsidR="00A72B68">
        <w:t>.</w:t>
      </w:r>
      <w:r>
        <w:t xml:space="preserve"> </w:t>
      </w:r>
      <w:r w:rsidR="00A72B68">
        <w:t>N</w:t>
      </w:r>
      <w:r>
        <w:t>a obszarze planu miejscowego miasta Lubina Nr 65 – część A nie nastąpiła zmiana przeznaczenia gruntów leśnych na cele nieleśne</w:t>
      </w:r>
      <w:r>
        <w:rPr>
          <w:szCs w:val="28"/>
        </w:rPr>
        <w:t>;</w:t>
      </w:r>
    </w:p>
    <w:p w14:paraId="7B536E35" w14:textId="77777777" w:rsidR="00867813" w:rsidRDefault="00B15824">
      <w:pPr>
        <w:pStyle w:val="NormalnyWeb"/>
        <w:numPr>
          <w:ilvl w:val="1"/>
          <w:numId w:val="4"/>
        </w:numPr>
        <w:spacing w:before="0" w:after="0"/>
        <w:jc w:val="both"/>
      </w:pPr>
      <w:r>
        <w:t xml:space="preserve">w oparciu o przepisy ustawy z dnia </w:t>
      </w:r>
      <w:r>
        <w:rPr>
          <w:szCs w:val="28"/>
        </w:rPr>
        <w:t xml:space="preserve">3 lutego 1995 r. o ochronie gruntów rolnych i leśnych (t. j. Dz. U. z 2021 r., poz. 1326 ze zm.) grunty rolne, położone w granicach administracyjnych miasta nie wymagają uzyskania zgody na przeznaczenie na cele nierolnicze. </w:t>
      </w:r>
    </w:p>
    <w:p w14:paraId="4AB7DADE" w14:textId="77777777" w:rsidR="00867813" w:rsidRDefault="00867813">
      <w:pPr>
        <w:pStyle w:val="Textbody"/>
      </w:pPr>
    </w:p>
    <w:p w14:paraId="0A545AFB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 xml:space="preserve">Określono wymagania w zakresie ochrony dziedzictwa kulturowego i zabytków </w:t>
      </w:r>
      <w:r>
        <w:rPr>
          <w:color w:val="000000"/>
        </w:rPr>
        <w:t>w odniesieniu do</w:t>
      </w:r>
      <w:bookmarkStart w:id="0" w:name="_Hlk54599807"/>
      <w:r>
        <w:rPr>
          <w:color w:val="000000"/>
        </w:rPr>
        <w:t xml:space="preserve"> </w:t>
      </w:r>
      <w:r>
        <w:t>stanowisk archeologicznych, wpisanych do wojewódzkiej ewidencji zabytków, oznaczonych na rysunku planu numerami ewidencyjnym</w:t>
      </w:r>
      <w:bookmarkEnd w:id="0"/>
      <w:r>
        <w:t xml:space="preserve">i: </w:t>
      </w:r>
    </w:p>
    <w:p w14:paraId="61330AFA" w14:textId="77777777" w:rsidR="00867813" w:rsidRDefault="00B15824">
      <w:pPr>
        <w:pStyle w:val="NormalnyWeb"/>
        <w:numPr>
          <w:ilvl w:val="0"/>
          <w:numId w:val="15"/>
        </w:numPr>
        <w:spacing w:before="0" w:after="0"/>
        <w:jc w:val="both"/>
      </w:pPr>
      <w:r>
        <w:t>nr 42/2/74-20 AZP – ślad osadnictwa – późne średniowiecze;</w:t>
      </w:r>
    </w:p>
    <w:p w14:paraId="7E38F0B5" w14:textId="77777777" w:rsidR="00867813" w:rsidRDefault="00B15824">
      <w:pPr>
        <w:pStyle w:val="NormalnyWeb"/>
        <w:numPr>
          <w:ilvl w:val="0"/>
          <w:numId w:val="15"/>
        </w:numPr>
        <w:spacing w:before="0" w:after="0"/>
        <w:jc w:val="both"/>
        <w:textAlignment w:val="auto"/>
      </w:pPr>
      <w:r>
        <w:t xml:space="preserve">nr 44/85/74-20 AZP - ślad osadniczy kultura łużycka, ślad osadniczy wczesne średniowiecze, ślad osadniczy późne średniowiecze, ślad osadniczy nowożytność (XVII-XVIII w.), ślad osadniczy nowożytność (XIX w.), ślad osadniczy nowożytność. </w:t>
      </w:r>
    </w:p>
    <w:p w14:paraId="6977526D" w14:textId="77777777" w:rsidR="00867813" w:rsidRDefault="00867813">
      <w:pPr>
        <w:widowControl/>
        <w:ind w:left="1068"/>
        <w:jc w:val="both"/>
      </w:pPr>
    </w:p>
    <w:p w14:paraId="21A21769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rPr>
          <w:color w:val="000000"/>
        </w:rPr>
        <w:t>N</w:t>
      </w:r>
      <w:r>
        <w:t>ie określono wymagań w zakresie ochrony dóbr kultury współczesnej, bowiem nie występują na obszarze planu.</w:t>
      </w:r>
    </w:p>
    <w:p w14:paraId="6268DBA1" w14:textId="77777777" w:rsidR="00867813" w:rsidRDefault="00867813">
      <w:pPr>
        <w:pStyle w:val="NormalnyWeb"/>
        <w:spacing w:before="0" w:after="0"/>
        <w:ind w:left="720"/>
        <w:jc w:val="both"/>
      </w:pPr>
    </w:p>
    <w:p w14:paraId="6BBE8A13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Wymagania ochrony zdrowia oraz bezpieczeństwa ludzi i mienia, a także potrzeby osób niepełnosprawnych – poprzez:</w:t>
      </w:r>
    </w:p>
    <w:p w14:paraId="07C3EBE6" w14:textId="77777777" w:rsidR="00867813" w:rsidRDefault="00B15824">
      <w:pPr>
        <w:pStyle w:val="NormalnyWeb"/>
        <w:numPr>
          <w:ilvl w:val="1"/>
          <w:numId w:val="5"/>
        </w:numPr>
        <w:spacing w:before="0" w:after="0"/>
        <w:jc w:val="both"/>
      </w:pPr>
      <w:r>
        <w:t>ustalenia dotyczące ograniczeń szkodliwego wpływu robót górniczych na powierzchnię ziemi;</w:t>
      </w:r>
    </w:p>
    <w:p w14:paraId="023D86BD" w14:textId="77777777" w:rsidR="00867813" w:rsidRDefault="00B15824">
      <w:pPr>
        <w:pStyle w:val="NormalnyWeb"/>
        <w:numPr>
          <w:ilvl w:val="1"/>
          <w:numId w:val="5"/>
        </w:numPr>
        <w:spacing w:before="0" w:after="0"/>
        <w:jc w:val="both"/>
      </w:pPr>
      <w:r>
        <w:t>ustalenia dotyczące ograniczeń od lotniska Lubin;</w:t>
      </w:r>
    </w:p>
    <w:p w14:paraId="0D66AC46" w14:textId="77777777" w:rsidR="00867813" w:rsidRDefault="00B15824">
      <w:pPr>
        <w:pStyle w:val="NormalnyWeb"/>
        <w:numPr>
          <w:ilvl w:val="1"/>
          <w:numId w:val="5"/>
        </w:numPr>
        <w:spacing w:before="0" w:after="0"/>
        <w:jc w:val="both"/>
      </w:pPr>
      <w:r>
        <w:t>wyznaczenie na całym obszarze objętym planem minimalnej liczby miejsc parkingowych dla pojazdów zaopatrzonych w kartę parkingową.</w:t>
      </w:r>
    </w:p>
    <w:p w14:paraId="36EBA1F8" w14:textId="77777777" w:rsidR="00867813" w:rsidRDefault="00867813">
      <w:pPr>
        <w:pStyle w:val="NormalnyWeb"/>
        <w:spacing w:before="0" w:after="0"/>
        <w:jc w:val="both"/>
      </w:pPr>
    </w:p>
    <w:p w14:paraId="08B17BD7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lastRenderedPageBreak/>
        <w:t>Walory ekonomiczne przestrzeni – poprzez przeznaczenie terenów o symbolach P/U, U, MU, MN/U na zabudowę, zgodnie z ustaleniami Studium uwarunkowań i kierunków zagospodarowania przestrzennego miasta Lubina.</w:t>
      </w:r>
    </w:p>
    <w:p w14:paraId="1BE8AB4B" w14:textId="77777777" w:rsidR="00867813" w:rsidRDefault="00867813">
      <w:pPr>
        <w:pStyle w:val="NormalnyWeb"/>
        <w:spacing w:before="0" w:after="0"/>
        <w:jc w:val="both"/>
      </w:pPr>
    </w:p>
    <w:p w14:paraId="48001AF6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Prawo własności – poprzez stworzenie podstaw prawnych do zagospodarowania terenu.</w:t>
      </w:r>
    </w:p>
    <w:p w14:paraId="47172A7B" w14:textId="77777777" w:rsidR="00867813" w:rsidRDefault="00867813">
      <w:pPr>
        <w:pStyle w:val="NormalnyWeb"/>
        <w:spacing w:before="0" w:after="0"/>
        <w:jc w:val="both"/>
      </w:pPr>
    </w:p>
    <w:p w14:paraId="5EC585BA" w14:textId="6FDEE43E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 xml:space="preserve">Potrzeby obronności i bezpieczeństwa państwa – na obszarze objętym </w:t>
      </w:r>
      <w:r w:rsidR="00E943D5">
        <w:t>wyznaczono granicę terenu zamkniętego – linii kolejowej nr 289 relacji Legnica – Rudna Gwizdanów, ustanowionego przez ministra do spraw transportu</w:t>
      </w:r>
      <w:r>
        <w:t>.</w:t>
      </w:r>
    </w:p>
    <w:p w14:paraId="5AA810A1" w14:textId="77777777" w:rsidR="00867813" w:rsidRDefault="00867813">
      <w:pPr>
        <w:pStyle w:val="NormalnyWeb"/>
        <w:spacing w:before="0" w:after="0"/>
        <w:jc w:val="both"/>
      </w:pPr>
    </w:p>
    <w:p w14:paraId="7C92C514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Potrzeby interesu publicznego – poprzez umożliwienie lokalizacji na obszarze planu  dróg publicznych, zieleni izolacyjnej, zieleni urządzonej, infrastruktury technicznej oraz usług takich jak administracja, kultura, oświata, ochrona zdrowia.</w:t>
      </w:r>
    </w:p>
    <w:p w14:paraId="259F933E" w14:textId="77777777" w:rsidR="00867813" w:rsidRDefault="00867813">
      <w:pPr>
        <w:pStyle w:val="NormalnyWeb"/>
        <w:spacing w:before="0" w:after="0"/>
        <w:jc w:val="both"/>
      </w:pPr>
    </w:p>
    <w:p w14:paraId="75E0787A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Potrzeby w zakresie rozwoju infrastruktury technicznej, w szczególności sieci szerokopasmowych – poprzez ustalenie w planie zasad modernizacji, rozbudowy i budowy systemów infrastruktury technicznej.</w:t>
      </w:r>
    </w:p>
    <w:p w14:paraId="3F7AE10C" w14:textId="77777777" w:rsidR="00867813" w:rsidRDefault="00867813">
      <w:pPr>
        <w:pStyle w:val="NormalnyWeb"/>
        <w:spacing w:before="0" w:after="0"/>
        <w:jc w:val="both"/>
      </w:pPr>
    </w:p>
    <w:p w14:paraId="68186598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Zapewnienie udziału społeczeństwa w pracach nad miejscowym planem zagospodarowania przestrzennego, w tym przy użyciu środków komunikacji elektronicznej – poprzez zapewnienie możliwości składania wniosków do planu oraz poprzez wyłożenie projektu planu do publicznego wglądu, organizację dyskusji publicznej nad przyjętymi w projekcie planu rozwiązaniami, a także umożliwienie zainteresowanym wnoszenia uwag dotyczących projektu planu.</w:t>
      </w:r>
    </w:p>
    <w:p w14:paraId="0AFE6910" w14:textId="77777777" w:rsidR="00867813" w:rsidRDefault="00867813">
      <w:pPr>
        <w:pStyle w:val="NormalnyWeb"/>
        <w:spacing w:before="0" w:after="0"/>
        <w:jc w:val="both"/>
      </w:pPr>
    </w:p>
    <w:p w14:paraId="5D11536B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Zachowanie jawności i przejrzystości procedur planistycznych – poprzez:</w:t>
      </w:r>
    </w:p>
    <w:p w14:paraId="7CBA0A15" w14:textId="77777777" w:rsidR="00867813" w:rsidRDefault="00B15824">
      <w:pPr>
        <w:pStyle w:val="NormalnyWeb"/>
        <w:numPr>
          <w:ilvl w:val="1"/>
          <w:numId w:val="6"/>
        </w:numPr>
        <w:spacing w:before="0" w:after="0"/>
        <w:jc w:val="both"/>
      </w:pPr>
      <w:r>
        <w:t>zamieszczanie obwieszczeń o terminie składania wniosków do planu oraz o terminach wyłożenia projektu planu wraz z prognozą oddziaływania na środowisko do publicznego wglądu, dyskusji publicznej i wnoszenia uwag do projektu planu - w prasie lokalnej, na tablicach ogłoszeń Urzędu Miejskiego, a także w Biuletynie Informacji Publicznej Urzędu Miejskiego w Lubinie,</w:t>
      </w:r>
    </w:p>
    <w:p w14:paraId="0821BC25" w14:textId="77777777" w:rsidR="00867813" w:rsidRDefault="00B15824">
      <w:pPr>
        <w:pStyle w:val="NormalnyWeb"/>
        <w:numPr>
          <w:ilvl w:val="1"/>
          <w:numId w:val="6"/>
        </w:numPr>
        <w:spacing w:before="0" w:after="0"/>
        <w:jc w:val="both"/>
      </w:pPr>
      <w:r>
        <w:t>zorganizowanie dyskusji publicznej nad przyjętymi w projekcie planu rozwiązaniami.</w:t>
      </w:r>
    </w:p>
    <w:p w14:paraId="113B9C4E" w14:textId="77777777" w:rsidR="00867813" w:rsidRDefault="00867813">
      <w:pPr>
        <w:pStyle w:val="NormalnyWeb"/>
        <w:spacing w:before="0" w:after="0"/>
        <w:ind w:left="720"/>
        <w:jc w:val="both"/>
      </w:pPr>
    </w:p>
    <w:p w14:paraId="36E80D0A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Potrzebę zapewnienia odpowiedniej ilości i jakości wody, do celów zaopatrzenia ludności – poprzez ustalenie w planie zasad modernizacji, rozbudowy i budowy systemów infrastruktury technicznej, w szczególności ustalenia w zakresie zaopatrzenia w wodę.</w:t>
      </w:r>
    </w:p>
    <w:p w14:paraId="7F491504" w14:textId="77777777" w:rsidR="00867813" w:rsidRDefault="00867813">
      <w:pPr>
        <w:pStyle w:val="NormalnyWeb"/>
        <w:spacing w:before="0" w:after="0"/>
        <w:ind w:left="360"/>
        <w:jc w:val="both"/>
      </w:pPr>
    </w:p>
    <w:p w14:paraId="31B8393C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Ustalając przeznaczenie terenu nie został naruszony interes prywatny oraz publiczny.</w:t>
      </w:r>
    </w:p>
    <w:p w14:paraId="0378732A" w14:textId="77777777" w:rsidR="00867813" w:rsidRDefault="00867813">
      <w:pPr>
        <w:pStyle w:val="NormalnyWeb"/>
        <w:spacing w:before="0" w:after="0"/>
        <w:jc w:val="both"/>
      </w:pPr>
    </w:p>
    <w:p w14:paraId="3EE6C6DC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Dla potrzeb planu sporządzono następujące analizy środowiskowe, ekonomiczne i społeczne:</w:t>
      </w:r>
    </w:p>
    <w:p w14:paraId="3667AD08" w14:textId="77777777" w:rsidR="00867813" w:rsidRDefault="00B15824">
      <w:pPr>
        <w:pStyle w:val="NormalnyWeb"/>
        <w:numPr>
          <w:ilvl w:val="1"/>
          <w:numId w:val="7"/>
        </w:numPr>
        <w:spacing w:before="0" w:after="0"/>
        <w:jc w:val="both"/>
      </w:pPr>
      <w:r>
        <w:t xml:space="preserve">inwentaryzację urbanistyczną, analizę zapisów studium, analizę obowiązujących planów miejscowych, analizę opracowania ekofizjograficznego i  wniosków złożonych przez instytucje i organy właściwe do uzgadniania i opiniowania planu oraz osoby fizyczne; </w:t>
      </w:r>
    </w:p>
    <w:p w14:paraId="4265CDD8" w14:textId="77777777" w:rsidR="00867813" w:rsidRDefault="00B15824">
      <w:pPr>
        <w:pStyle w:val="NormalnyWeb"/>
        <w:numPr>
          <w:ilvl w:val="1"/>
          <w:numId w:val="7"/>
        </w:numPr>
        <w:spacing w:before="0" w:after="0"/>
        <w:jc w:val="both"/>
      </w:pPr>
      <w:r>
        <w:t>prognozę oddziaływania na środowisko ustaleń projektu miejscowego planu zagospodarowania przestrzennego nr 65 miasta Lubina – część A;</w:t>
      </w:r>
    </w:p>
    <w:p w14:paraId="5696AB50" w14:textId="77777777" w:rsidR="00867813" w:rsidRDefault="00B15824">
      <w:pPr>
        <w:pStyle w:val="NormalnyWeb"/>
        <w:numPr>
          <w:ilvl w:val="1"/>
          <w:numId w:val="7"/>
        </w:numPr>
        <w:spacing w:before="0" w:after="0"/>
        <w:jc w:val="both"/>
      </w:pPr>
      <w:r>
        <w:lastRenderedPageBreak/>
        <w:t>prognozę skutków finansowych uchwalenia miejscowego planu zagospodarowania przestrzennego, określającą wpływ ustaleń planu na dochody własne i wydatki gminy.</w:t>
      </w:r>
    </w:p>
    <w:p w14:paraId="6D36FFB7" w14:textId="77777777" w:rsidR="00867813" w:rsidRDefault="00867813">
      <w:pPr>
        <w:pStyle w:val="NormalnyWeb"/>
        <w:spacing w:before="0" w:after="0"/>
        <w:ind w:left="1080"/>
        <w:jc w:val="both"/>
      </w:pPr>
    </w:p>
    <w:p w14:paraId="71FCFFA5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Uwzględnienie wymagań ładu przestrzennego, efektywnego gospodarowania przestrzenią oraz walorów ekonomicznych przestrzeni dla nowej zabudowy nastąpiło poprzez umożliwienie kontynuacji zabudowy o zbliżonych gabarytach w granicach wydzielonych terenów</w:t>
      </w:r>
      <w:r>
        <w:rPr>
          <w:color w:val="000000"/>
        </w:rPr>
        <w:t>.</w:t>
      </w:r>
    </w:p>
    <w:p w14:paraId="11E85A00" w14:textId="77777777" w:rsidR="00867813" w:rsidRDefault="00867813">
      <w:pPr>
        <w:pStyle w:val="NormalnyWeb"/>
        <w:spacing w:before="0" w:after="0"/>
        <w:jc w:val="both"/>
        <w:rPr>
          <w:color w:val="000000"/>
        </w:rPr>
      </w:pPr>
    </w:p>
    <w:p w14:paraId="19D16B9F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 xml:space="preserve">Ustalenia planu są zgodne z wynikami analizy zmian w zagospodarowaniu przestrzennym gminy, przyjętej uchwałą Rady Miejskiej w Lubinie nr XIII/131/15 z dnia 22 grudnia 2015  r. w sprawie oceny aktualności studium i planów miejscowych miasta Lubina. Stwierdzono w niej, iż miejscowe plany zagospodarowania przestrzennego mogą ulegać zmianie w miarę potrzeb. Dotychczas na części obszaru objętego planem obowiązywał miejscowy plan zagospodarowania przestrzennego nr 13 miasta Lubina. </w:t>
      </w:r>
      <w:r>
        <w:rPr>
          <w:color w:val="000000"/>
        </w:rPr>
        <w:t>Plan nr 65 – część A stanowi kontynuację i aktualizację tego planu.</w:t>
      </w:r>
    </w:p>
    <w:p w14:paraId="121A8064" w14:textId="77777777" w:rsidR="00867813" w:rsidRDefault="00867813">
      <w:pPr>
        <w:pStyle w:val="NormalnyWeb"/>
        <w:spacing w:before="0" w:after="0"/>
        <w:jc w:val="both"/>
      </w:pPr>
    </w:p>
    <w:p w14:paraId="1DBC36B3" w14:textId="77777777" w:rsidR="00867813" w:rsidRDefault="00B15824">
      <w:pPr>
        <w:pStyle w:val="NormalnyWeb"/>
        <w:numPr>
          <w:ilvl w:val="0"/>
          <w:numId w:val="3"/>
        </w:numPr>
        <w:spacing w:before="0" w:after="0"/>
        <w:jc w:val="both"/>
      </w:pPr>
      <w:r>
        <w:t>Na skutek uchwalenia miejscowego planu zagospodarowania przestrzennego nr 65 – część A nastąpią wpływy do budżetu miejskiego. Dochody Miasta Lubin będą związane z podatkiem od nieruchomości oraz ewentualnie z rentą planistyczną w przypadku zbycia nieruchomości w okresie 5 lat od wejścia w życie planu.</w:t>
      </w:r>
    </w:p>
    <w:p w14:paraId="588B379C" w14:textId="77777777" w:rsidR="00867813" w:rsidRDefault="00867813">
      <w:pPr>
        <w:pStyle w:val="Textbody"/>
        <w:rPr>
          <w:rFonts w:ascii="Times New Roman" w:hAnsi="Times New Roman" w:cs="Times New Roman"/>
        </w:rPr>
      </w:pPr>
    </w:p>
    <w:p w14:paraId="6FE1398E" w14:textId="77777777" w:rsidR="00867813" w:rsidRDefault="00867813">
      <w:pPr>
        <w:pStyle w:val="Textbody"/>
        <w:rPr>
          <w:rFonts w:ascii="Times New Roman" w:hAnsi="Times New Roman" w:cs="Times New Roman"/>
          <w:bCs/>
        </w:rPr>
      </w:pPr>
    </w:p>
    <w:p w14:paraId="2E69ED48" w14:textId="77777777" w:rsidR="00867813" w:rsidRDefault="00867813">
      <w:pPr>
        <w:pStyle w:val="Standard"/>
        <w:jc w:val="both"/>
        <w:rPr>
          <w:rFonts w:ascii="Times New Roman" w:hAnsi="Times New Roman" w:cs="Times New Roman"/>
          <w:bCs/>
        </w:rPr>
      </w:pPr>
    </w:p>
    <w:p w14:paraId="30C09DD4" w14:textId="77777777" w:rsidR="00867813" w:rsidRDefault="00B15824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Mając powyższe na uwadze, podjęcie przez Radę Miejską w Lubinie uchwały w sprawie uchwalenia planu nr 65 – część A jest w pełni uzasadnione.</w:t>
      </w:r>
    </w:p>
    <w:p w14:paraId="68738A1B" w14:textId="77777777" w:rsidR="00867813" w:rsidRDefault="00867813">
      <w:pPr>
        <w:pStyle w:val="Textbody"/>
        <w:rPr>
          <w:rFonts w:ascii="Times New Roman" w:hAnsi="Times New Roman" w:cs="Times New Roman"/>
        </w:rPr>
      </w:pPr>
    </w:p>
    <w:sectPr w:rsidR="0086781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94422" w14:textId="77777777" w:rsidR="007F0C01" w:rsidRDefault="007F0C01">
      <w:r>
        <w:separator/>
      </w:r>
    </w:p>
  </w:endnote>
  <w:endnote w:type="continuationSeparator" w:id="0">
    <w:p w14:paraId="7D709BBD" w14:textId="77777777" w:rsidR="007F0C01" w:rsidRDefault="007F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altName w:val="OpenSymbol"/>
    <w:charset w:val="00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5155A" w14:textId="77777777" w:rsidR="007F0C01" w:rsidRDefault="007F0C01">
      <w:r>
        <w:rPr>
          <w:color w:val="000000"/>
        </w:rPr>
        <w:separator/>
      </w:r>
    </w:p>
  </w:footnote>
  <w:footnote w:type="continuationSeparator" w:id="0">
    <w:p w14:paraId="55D0E08A" w14:textId="77777777" w:rsidR="007F0C01" w:rsidRDefault="007F0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7D6"/>
    <w:multiLevelType w:val="multilevel"/>
    <w:tmpl w:val="278ED23E"/>
    <w:lvl w:ilvl="0">
      <w:numFmt w:val="bullet"/>
      <w:lvlText w:val=""/>
      <w:lvlJc w:val="left"/>
      <w:pPr>
        <w:ind w:left="720" w:hanging="360"/>
      </w:pPr>
      <w:rPr>
        <w:rFonts w:ascii="Symbol" w:hAnsi="Symbol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2671AC6"/>
    <w:multiLevelType w:val="multilevel"/>
    <w:tmpl w:val="B0C8671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79B3E94"/>
    <w:multiLevelType w:val="multilevel"/>
    <w:tmpl w:val="E4A4FEE8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 w15:restartNumberingAfterBreak="0">
    <w:nsid w:val="28155FE5"/>
    <w:multiLevelType w:val="multilevel"/>
    <w:tmpl w:val="2CE0D75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30503CBF"/>
    <w:multiLevelType w:val="multilevel"/>
    <w:tmpl w:val="76E6E52A"/>
    <w:styleLink w:val="WW8Num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680" w:hanging="320"/>
      </w:pPr>
      <w:rPr>
        <w:rFonts w:ascii="Times New Roman" w:hAnsi="Times New Roman" w:cs="Times New Roman"/>
        <w:b w:val="0"/>
        <w:szCs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hAnsi="Times New Roman" w:cs="Times New Roman"/>
        <w:b w:val="0"/>
        <w:szCs w:val="24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/>
        <w:b w:val="0"/>
        <w:szCs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/>
        <w:b w:val="0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szCs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szCs w:val="24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szCs w:val="24"/>
      </w:rPr>
    </w:lvl>
  </w:abstractNum>
  <w:abstractNum w:abstractNumId="5" w15:restartNumberingAfterBreak="0">
    <w:nsid w:val="37713BDA"/>
    <w:multiLevelType w:val="multilevel"/>
    <w:tmpl w:val="902C681A"/>
    <w:styleLink w:val="WW8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6" w15:restartNumberingAfterBreak="0">
    <w:nsid w:val="416B7035"/>
    <w:multiLevelType w:val="multilevel"/>
    <w:tmpl w:val="CDFE171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1417DFF"/>
    <w:multiLevelType w:val="multilevel"/>
    <w:tmpl w:val="F2180D7E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8" w15:restartNumberingAfterBreak="0">
    <w:nsid w:val="571809AD"/>
    <w:multiLevelType w:val="multilevel"/>
    <w:tmpl w:val="A06CE1BA"/>
    <w:styleLink w:val="WW8Num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9" w15:restartNumberingAfterBreak="0">
    <w:nsid w:val="58C40E56"/>
    <w:multiLevelType w:val="multilevel"/>
    <w:tmpl w:val="3FAE8586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B547C2A"/>
    <w:multiLevelType w:val="multilevel"/>
    <w:tmpl w:val="3DBA62F0"/>
    <w:styleLink w:val="WW8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1" w15:restartNumberingAfterBreak="0">
    <w:nsid w:val="60782E6F"/>
    <w:multiLevelType w:val="multilevel"/>
    <w:tmpl w:val="24B8EAA6"/>
    <w:lvl w:ilvl="0">
      <w:start w:val="1"/>
      <w:numFmt w:val="lowerLetter"/>
      <w:lvlText w:val="%1)"/>
      <w:lvlJc w:val="left"/>
      <w:pPr>
        <w:ind w:left="1440" w:hanging="360"/>
      </w:pPr>
      <w:rPr>
        <w:szCs w:val="24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2880" w:hanging="360"/>
      </w:pPr>
    </w:lvl>
    <w:lvl w:ilvl="5">
      <w:start w:val="1"/>
      <w:numFmt w:val="decimal"/>
      <w:lvlText w:val="%6.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decimal"/>
      <w:lvlText w:val="%8."/>
      <w:lvlJc w:val="left"/>
      <w:pPr>
        <w:ind w:left="3960" w:hanging="360"/>
      </w:pPr>
    </w:lvl>
    <w:lvl w:ilvl="8">
      <w:start w:val="1"/>
      <w:numFmt w:val="decimal"/>
      <w:lvlText w:val="%9."/>
      <w:lvlJc w:val="left"/>
      <w:pPr>
        <w:ind w:left="4320" w:hanging="360"/>
      </w:pPr>
    </w:lvl>
  </w:abstractNum>
  <w:abstractNum w:abstractNumId="12" w15:restartNumberingAfterBreak="0">
    <w:nsid w:val="6A3F328C"/>
    <w:multiLevelType w:val="hybridMultilevel"/>
    <w:tmpl w:val="AD3AF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31A92"/>
    <w:multiLevelType w:val="multilevel"/>
    <w:tmpl w:val="1228CFFA"/>
    <w:styleLink w:val="WW8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num w:numId="1" w16cid:durableId="964847274">
    <w:abstractNumId w:val="3"/>
  </w:num>
  <w:num w:numId="2" w16cid:durableId="85201220">
    <w:abstractNumId w:val="9"/>
  </w:num>
  <w:num w:numId="3" w16cid:durableId="514079833">
    <w:abstractNumId w:val="1"/>
  </w:num>
  <w:num w:numId="4" w16cid:durableId="434130241">
    <w:abstractNumId w:val="8"/>
  </w:num>
  <w:num w:numId="5" w16cid:durableId="741876820">
    <w:abstractNumId w:val="13"/>
  </w:num>
  <w:num w:numId="6" w16cid:durableId="2054424923">
    <w:abstractNumId w:val="10"/>
  </w:num>
  <w:num w:numId="7" w16cid:durableId="1733307008">
    <w:abstractNumId w:val="2"/>
  </w:num>
  <w:num w:numId="8" w16cid:durableId="306667197">
    <w:abstractNumId w:val="5"/>
  </w:num>
  <w:num w:numId="9" w16cid:durableId="469635695">
    <w:abstractNumId w:val="4"/>
  </w:num>
  <w:num w:numId="10" w16cid:durableId="196234748">
    <w:abstractNumId w:val="7"/>
  </w:num>
  <w:num w:numId="11" w16cid:durableId="1826118793">
    <w:abstractNumId w:val="9"/>
  </w:num>
  <w:num w:numId="12" w16cid:durableId="390271169">
    <w:abstractNumId w:val="1"/>
    <w:lvlOverride w:ilvl="0">
      <w:startOverride w:val="1"/>
    </w:lvlOverride>
  </w:num>
  <w:num w:numId="13" w16cid:durableId="1144082434">
    <w:abstractNumId w:val="11"/>
  </w:num>
  <w:num w:numId="14" w16cid:durableId="243686243">
    <w:abstractNumId w:val="0"/>
  </w:num>
  <w:num w:numId="15" w16cid:durableId="769081242">
    <w:abstractNumId w:val="6"/>
  </w:num>
  <w:num w:numId="16" w16cid:durableId="16831187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813"/>
    <w:rsid w:val="00040141"/>
    <w:rsid w:val="00467B11"/>
    <w:rsid w:val="004915B5"/>
    <w:rsid w:val="007F0C01"/>
    <w:rsid w:val="00867813"/>
    <w:rsid w:val="008C582B"/>
    <w:rsid w:val="009409C9"/>
    <w:rsid w:val="00A72B68"/>
    <w:rsid w:val="00B15824"/>
    <w:rsid w:val="00CF627E"/>
    <w:rsid w:val="00D026D1"/>
    <w:rsid w:val="00E9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4C0C"/>
  <w15:docId w15:val="{F20CB7F2-8A74-4477-BF0C-9EE75DF8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agwek2">
    <w:name w:val="Nagłówek2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Podpis2">
    <w:name w:val="Podpis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Mangal"/>
      <w:i/>
      <w:iCs/>
    </w:r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  <w:bCs/>
    </w:rPr>
  </w:style>
  <w:style w:type="paragraph" w:styleId="Podtytu">
    <w:name w:val="Subtitle"/>
    <w:basedOn w:val="Nagwek1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Tekstpodstawowy2">
    <w:name w:val="Body Text 2"/>
    <w:basedOn w:val="Standard"/>
    <w:pPr>
      <w:widowControl w:val="0"/>
      <w:tabs>
        <w:tab w:val="left" w:pos="-284"/>
      </w:tabs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Tekstpodstawowywcity31">
    <w:name w:val="Tekst podstawowy wcięty 31"/>
    <w:basedOn w:val="Standard"/>
    <w:pPr>
      <w:spacing w:after="120"/>
      <w:ind w:left="283"/>
    </w:pPr>
    <w:rPr>
      <w:rFonts w:ascii="Times New Roman" w:hAnsi="Times New Roman" w:cs="Times New Roman"/>
      <w:sz w:val="16"/>
      <w:szCs w:val="16"/>
    </w:rPr>
  </w:style>
  <w:style w:type="paragraph" w:customStyle="1" w:styleId="Tekstpodstawowy31">
    <w:name w:val="Tekst podstawowy 31"/>
    <w:basedOn w:val="Standard"/>
    <w:pPr>
      <w:autoSpaceDE w:val="0"/>
      <w:jc w:val="both"/>
    </w:pPr>
    <w:rPr>
      <w:b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ormalnyWeb">
    <w:name w:val="Normal (Web)"/>
    <w:basedOn w:val="Standard"/>
    <w:pPr>
      <w:suppressAutoHyphens w:val="0"/>
      <w:spacing w:before="280" w:after="119"/>
    </w:pPr>
    <w:rPr>
      <w:rFonts w:ascii="Times New Roman" w:hAnsi="Times New Roman" w:cs="Times New Roma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Symbol" w:hAnsi="Symbol" w:cs="OpenSymbol, 'Arial Unicode MS'"/>
    </w:rPr>
  </w:style>
  <w:style w:type="character" w:customStyle="1" w:styleId="WW8Num3z0">
    <w:name w:val="WW8Num3z0"/>
    <w:rPr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Times New Roman" w:eastAsia="Times New Roman" w:hAnsi="Times New Roman" w:cs="Times New Roman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2">
    <w:name w:val="Domyślna czcionka akapitu2"/>
  </w:style>
  <w:style w:type="character" w:customStyle="1" w:styleId="WW-Absatz-Standardschriftart11111">
    <w:name w:val="WW-Absatz-Standardschriftart11111"/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Symbol" w:eastAsia="Symbol" w:hAnsi="Symbol" w:cs="Symbol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7z0">
    <w:name w:val="WW8Num17z0"/>
    <w:rPr>
      <w:rFonts w:ascii="Symbol" w:eastAsia="Symbol" w:hAnsi="Symbol" w:cs="Symbol"/>
    </w:rPr>
  </w:style>
  <w:style w:type="character" w:customStyle="1" w:styleId="WW8Num17z1">
    <w:name w:val="WW8Num17z1"/>
    <w:rPr>
      <w:rFonts w:ascii="Courier New" w:eastAsia="Courier New" w:hAnsi="Courier New" w:cs="Times New Roman"/>
    </w:rPr>
  </w:style>
  <w:style w:type="character" w:customStyle="1" w:styleId="WW8Num17z2">
    <w:name w:val="WW8Num17z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Domylnaczcionkaakapitu4">
    <w:name w:val="Domyślna czcionka akapitu4"/>
  </w:style>
  <w:style w:type="character" w:customStyle="1" w:styleId="StrongEmphasis">
    <w:name w:val="Strong Emphasis"/>
    <w:basedOn w:val="Domylnaczcionkaakapitu1"/>
    <w:rPr>
      <w:b/>
      <w:bCs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Domylnaczcionkaakapitu5">
    <w:name w:val="Domyślna czcionka akapitu5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3">
    <w:name w:val="Domyślna czcionka akapitu3"/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12z1">
    <w:name w:val="WW8Num12z1"/>
    <w:rPr>
      <w:rFonts w:ascii="Times New Roman" w:eastAsia="Times New Roman" w:hAnsi="Times New Roman" w:cs="Times New Roman"/>
      <w:b w:val="0"/>
      <w:szCs w:val="24"/>
    </w:rPr>
  </w:style>
  <w:style w:type="character" w:customStyle="1" w:styleId="WW8Num12z3">
    <w:name w:val="WW8Num12z3"/>
    <w:rPr>
      <w:rFonts w:ascii="Symbol" w:eastAsia="Symbol" w:hAnsi="Symbol" w:cs="Symbol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Domylnaczcionkaakapitu13">
    <w:name w:val="Domyślna czcionka akapitu13"/>
  </w:style>
  <w:style w:type="paragraph" w:styleId="Tekstpodstawowy">
    <w:name w:val="Body Text"/>
    <w:basedOn w:val="Normalny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rPr>
      <w:szCs w:val="21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12">
    <w:name w:val="WW8Num12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1843</Words>
  <Characters>11061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/>
  <LinksUpToDate>false</LinksUpToDate>
  <CharactersWithSpaces>12879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ESzymanska</dc:creator>
  <cp:lastModifiedBy>Irena Głuszek</cp:lastModifiedBy>
  <cp:revision>4</cp:revision>
  <cp:lastPrinted>2022-06-20T17:48:00Z</cp:lastPrinted>
  <dcterms:created xsi:type="dcterms:W3CDTF">2022-06-29T18:44:00Z</dcterms:created>
  <dcterms:modified xsi:type="dcterms:W3CDTF">2022-10-10T11:21:00Z</dcterms:modified>
</cp:coreProperties>
</file>