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left" w:pos="-570" w:leader="none"/>
        </w:tabs>
        <w:spacing w:lineRule="auto" w:line="276"/>
        <w:jc w:val="center"/>
        <w:rPr/>
      </w:pPr>
      <w:r>
        <w:rPr>
          <w:rStyle w:val="Mocnowyrniony"/>
          <w:rFonts w:cs="Arial" w:ascii="Tahoma" w:hAnsi="Tahoma"/>
          <w:sz w:val="22"/>
          <w:szCs w:val="22"/>
        </w:rPr>
        <w:t>ZARZĄDZENIE P.0050.295.2022</w:t>
        <w:br/>
        <w:t xml:space="preserve">PREZYDENTA MIASTA LUBINA </w:t>
        <w:br/>
        <w:t>Z DNIA 25 LISTOPADA 2022 r.</w:t>
      </w:r>
    </w:p>
    <w:p>
      <w:pPr>
        <w:pStyle w:val="Standard"/>
        <w:spacing w:lineRule="auto" w:line="276"/>
        <w:jc w:val="center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bookmarkStart w:id="0" w:name="_GoBack"/>
      <w:bookmarkEnd w:id="0"/>
      <w:r>
        <w:rPr>
          <w:rFonts w:ascii="Tahoma" w:hAnsi="Tahoma"/>
          <w:b/>
          <w:bCs/>
          <w:sz w:val="22"/>
          <w:szCs w:val="22"/>
        </w:rPr>
        <w:t>w sprawie ogłoszenia konkursu ofert na wsparcie lub powierzenie do realizacji zadań  publicznych w 2023 r. z zakresu pomocy społecznej, w tym pomocy rodzinom i osobom                       w trudnej sytuacji życiowej oraz wyrównywania szans tych rodzin i osób</w:t>
      </w:r>
    </w:p>
    <w:p>
      <w:pPr>
        <w:pStyle w:val="Standard"/>
        <w:spacing w:lineRule="auto" w:line="276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color w:val="FF0000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color w:val="FF0000"/>
          <w:sz w:val="22"/>
          <w:szCs w:val="22"/>
          <w:lang w:bidi="ar-SA"/>
        </w:rPr>
        <w:tab/>
      </w:r>
      <w:r>
        <w:rPr>
          <w:rFonts w:eastAsia="Times New Roman" w:cs="Arial" w:ascii="Tahoma" w:hAnsi="Tahoma"/>
          <w:sz w:val="22"/>
          <w:szCs w:val="22"/>
          <w:lang w:bidi="ar-SA"/>
        </w:rPr>
        <w:t>N</w:t>
      </w:r>
      <w:r>
        <w:rPr>
          <w:rFonts w:eastAsia="Arial" w:cs="Arial" w:ascii="Tahoma" w:hAnsi="Tahoma"/>
          <w:sz w:val="22"/>
          <w:szCs w:val="22"/>
        </w:rPr>
        <w:t>a podstawie art. 30 ust. 1 i ust. 2 pkt 2 w związku z  art. 7 ust. 1 pkt 19 ustawy z dnia                    8 marca 1990 r. o samorządzie gminnym (t.j.: Dz. U. z 2022 r., poz. 559 ze zm.), art. 13 ust. 1-3 ustawy z dnia 24 kwietnia 2003r. o działalności pożytku publicznego i o wolontariacie (tekst jednolity: Dz.U. z 2022 r., poz. 1327 ze zm.) i</w:t>
      </w:r>
      <w:r>
        <w:rPr>
          <w:rFonts w:eastAsia="Times New Roman" w:cs="Arial" w:ascii="Tahoma" w:hAnsi="Tahoma"/>
          <w:sz w:val="22"/>
          <w:szCs w:val="22"/>
          <w:lang w:bidi="ar-SA"/>
        </w:rPr>
        <w:t xml:space="preserve"> </w:t>
      </w:r>
      <w:r>
        <w:rPr>
          <w:rFonts w:eastAsia="Times New Roman" w:cs="Times New Roman" w:ascii="Tahoma" w:hAnsi="Tahoma"/>
          <w:sz w:val="22"/>
          <w:szCs w:val="22"/>
        </w:rPr>
        <w:t>uchwały</w:t>
      </w:r>
      <w:r>
        <w:rPr>
          <w:rFonts w:eastAsia="Times New Roman" w:cs="Times New Roman" w:ascii="Tahoma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XL/289/22 Rady Miejskiej w Lubinie                 z dnia 22 listopada 2022 r. </w:t>
      </w:r>
      <w:r>
        <w:rPr>
          <w:rFonts w:eastAsia="Times New Roman" w:cs="Times New Roman" w:ascii="Tahoma" w:hAnsi="Tahoma"/>
          <w:sz w:val="22"/>
          <w:szCs w:val="22"/>
          <w:lang w:bidi="ar-SA"/>
        </w:rPr>
        <w:t xml:space="preserve">w sprawie przyjęcia programu współpracy Miasta Lubina                                   z organizacjami pozarządowymi i podmiotami, o których mowa w art. 3 ust. 3 ustawy z dnia                       24 kwietnia 2003 roku o działalności pożytku publicznego i o wolontariacie, na rok 2023 </w:t>
      </w:r>
      <w:r>
        <w:rPr>
          <w:rFonts w:eastAsia="Arial CE" w:cs="Arial" w:ascii="Tahoma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 i  wykonywania czynności w tym praw i obowiązków,</w:t>
      </w:r>
      <w:r>
        <w:rPr>
          <w:rFonts w:eastAsia="Arial CE" w:cs="Arial" w:ascii="Tahoma" w:hAnsi="Tahoma"/>
          <w:sz w:val="22"/>
          <w:szCs w:val="22"/>
        </w:rPr>
        <w:t xml:space="preserve"> </w:t>
      </w:r>
      <w:r>
        <w:rPr>
          <w:rFonts w:eastAsia="Times New Roman" w:cs="Arial" w:ascii="Tahoma" w:hAnsi="Tahoma"/>
          <w:spacing w:val="20"/>
          <w:sz w:val="22"/>
          <w:szCs w:val="22"/>
          <w:lang w:bidi="ar-SA"/>
        </w:rPr>
        <w:t>postanawiam, co następuje</w:t>
      </w:r>
      <w:r>
        <w:rPr>
          <w:rFonts w:eastAsia="Times New Roman" w:cs="Arial" w:ascii="Tahoma" w:hAnsi="Tahoma"/>
          <w:sz w:val="22"/>
          <w:szCs w:val="22"/>
          <w:lang w:bidi="ar-SA"/>
        </w:rPr>
        <w:t>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1</w:t>
      </w:r>
    </w:p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eastAsia="Times New Roman" w:cs="Times New Roman" w:ascii="Tahoma" w:hAnsi="Tahoma"/>
          <w:b/>
          <w:spacing w:val="20"/>
          <w:sz w:val="22"/>
          <w:szCs w:val="22"/>
          <w:lang w:bidi="ar-SA"/>
        </w:rPr>
        <w:t>Ogłaszam otwarty konkurs ofert na realizację zadań publicznych:</w:t>
      </w:r>
    </w:p>
    <w:p>
      <w:pPr>
        <w:pStyle w:val="Standard"/>
        <w:tabs>
          <w:tab w:val="left" w:pos="325" w:leader="none"/>
        </w:tabs>
        <w:spacing w:lineRule="auto" w:line="276" w:before="0" w:after="40"/>
        <w:ind w:left="-15" w:hanging="0"/>
        <w:jc w:val="both"/>
        <w:rPr>
          <w:rFonts w:ascii="Tahoma" w:hAnsi="Tahoma"/>
          <w:sz w:val="22"/>
          <w:szCs w:val="22"/>
        </w:rPr>
      </w:pPr>
      <w:r>
        <w:rPr>
          <w:rFonts w:cs="Times New Roman" w:ascii="Tahoma" w:hAnsi="Tahoma"/>
          <w:sz w:val="22"/>
          <w:szCs w:val="22"/>
        </w:rPr>
        <w:tab/>
      </w:r>
      <w:r>
        <w:rPr>
          <w:rFonts w:cs="Times New Roman" w:ascii="Tahoma" w:hAnsi="Tahoma"/>
          <w:b/>
          <w:sz w:val="22"/>
          <w:szCs w:val="22"/>
        </w:rPr>
        <w:t>w obszarze pomocy społecznej, w tym pomocy rodzinom i osobom w trudnej sytuacji życiowej, wyrównywania szans tych rodzin i osób:</w:t>
      </w:r>
    </w:p>
    <w:p>
      <w:pPr>
        <w:pStyle w:val="Standard"/>
        <w:spacing w:lineRule="auto" w:line="276" w:before="0" w:after="40"/>
        <w:ind w:left="45" w:hanging="0"/>
        <w:jc w:val="both"/>
        <w:rPr>
          <w:rFonts w:ascii="Tahoma" w:hAnsi="Tahoma"/>
          <w:sz w:val="22"/>
          <w:szCs w:val="22"/>
        </w:rPr>
      </w:pPr>
      <w:r>
        <w:rPr>
          <w:rFonts w:cs="Times New Roman" w:ascii="Tahoma" w:hAnsi="Tahoma"/>
          <w:sz w:val="22"/>
          <w:szCs w:val="22"/>
        </w:rPr>
        <w:tab/>
        <w:t>wzmacnianie rodziny i dziecka w środowisku lokalnym – zapewnienie dzieciom</w:t>
        <w:br/>
        <w:t>i młodzieży pochodzącej z rodzin ubogich odpowiednich warunków życia i rozwoju: organizacja wypoczynku letniego dla dzieci i młodzieży ze środowisk zagrożonych wykluczeniem społecznym,</w:t>
        <w:br/>
        <w:t xml:space="preserve">w tym półkolonii, imprez sportowych, zajęć kulturalnych, wycieczek i wyjazdów, organizacja imprez integracyjnych i sportowo-rekreacyjnych, prowadzenie świetlic środowiskowych, budowanie systemu wsparcia osób i rodzin pozostających w trudnej sytuacji życiowej – pomoc osobom bezdomnym i ubogim poprzez aktywizację i zapewnienie im całodobowego, tymczasowego schronienia  w  schronisku dla osób bezdomnych oraz tymczasowego schronienia  w noclegowni bądź ogrzewalni, zapewnienie usług opiekuńczych, organizacja punktu wydawania odzieży, środków higieny osobistej, żywności, sprzętu AGD, artykułów szkolnych, organizacja pomocy prawnej i psychologicznej, prowadzenie jadłodajni, organizacja i prowadzenie specjalistycznego poradnictwa i usług dla rodzin sprawujących opiekę nad osobami niepełnosprawnymi i chorymi: organizowanie i prowadzenie grup wsparcia dla rodzin wychowujących osoby niepełnosprawne, działania wspierające osoby starsze, obłożnie chore i ich opiekunów organizacja imprez dla osób starszych, pozostających w trudnych warunkach życiowych w tym imprez kulturalnych, </w:t>
      </w:r>
      <w:r>
        <w:rPr>
          <w:rFonts w:eastAsia="Times New Roman" w:cs="Times New Roman" w:ascii="Tahoma" w:hAnsi="Tahoma"/>
          <w:sz w:val="22"/>
          <w:szCs w:val="22"/>
        </w:rPr>
        <w:t>pomoc rodzinom i wsparcie w rozwiązywaniu problemów życiowych poprzez prowadzenie specjalistycznej poradni rodzinnej.</w:t>
      </w:r>
    </w:p>
    <w:p>
      <w:pPr>
        <w:pStyle w:val="Standard"/>
        <w:spacing w:lineRule="auto" w:line="276" w:before="0" w:after="40"/>
        <w:ind w:left="45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Wysokość środków publicznych przewidzianych na realizację zadania w 2023 r. –</w:t>
      </w:r>
      <w:r>
        <w:rPr>
          <w:rFonts w:ascii="Tahoma" w:hAnsi="Tahoma"/>
          <w:sz w:val="22"/>
          <w:szCs w:val="22"/>
        </w:rPr>
        <w:t xml:space="preserve"> 1 133 000 zł,                w tym na prowadzenie jadłodajni 363 000 zł,  </w:t>
      </w:r>
      <w:r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sz w:val="22"/>
          <w:szCs w:val="22"/>
        </w:rPr>
        <w:t>na realizację zadania tego samego rodzaju w 2022 r. – 1 020 000 zł, w tym na prowadzenie jadłodajni 330 000 zł</w:t>
      </w:r>
      <w:r>
        <w:rPr>
          <w:rFonts w:ascii="Tahoma" w:hAnsi="Tahoma"/>
          <w:color w:val="FF0000"/>
          <w:sz w:val="22"/>
          <w:szCs w:val="22"/>
        </w:rPr>
        <w:t xml:space="preserve">. </w:t>
      </w:r>
    </w:p>
    <w:p>
      <w:pPr>
        <w:pStyle w:val="Standard"/>
        <w:spacing w:lineRule="auto" w:line="276" w:before="0" w:after="40"/>
        <w:ind w:left="45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1.Zasady przyznawania dotacji.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Zasady przyznawania dotacji określają przepisy: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>
        <w:rPr>
          <w:rFonts w:eastAsia="Arial" w:cs="Arial" w:ascii="Tahoma" w:hAnsi="Tahoma"/>
          <w:sz w:val="22"/>
          <w:szCs w:val="22"/>
        </w:rPr>
        <w:t>(tekst jednolity: Dz.U. z 2022 r., poz. 1327 ze zm.)</w:t>
      </w:r>
      <w:r>
        <w:rPr>
          <w:rFonts w:ascii="Tahoma" w:hAnsi="Tahoma"/>
          <w:sz w:val="22"/>
          <w:szCs w:val="22"/>
        </w:rPr>
        <w:t>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2) ustawy z dnia 27 sierpnia 2009 r. o finansach publicznych (tekst jednolity: Dz. U. z 2022 r., poz.1634 ze zm.),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Arial" w:cs="Arial" w:ascii="Tahoma" w:hAnsi="Tahoma"/>
          <w:sz w:val="22"/>
          <w:szCs w:val="22"/>
        </w:rPr>
        <w:t>3) ustawy z dnia 12 marca 2004 r. o pomocy społecznej (tekst jednolity: Dz. U. z 2021 r., poz. 2268 ze zm.).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276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>
        <w:rPr>
          <w:rFonts w:eastAsia="Arial" w:cs="Arial" w:ascii="Tahoma" w:hAnsi="Tahoma"/>
          <w:sz w:val="22"/>
          <w:szCs w:val="22"/>
        </w:rPr>
        <w:t>(tekst jednolity: Dz.U. z 2022 r., poz. 1327 ze zm.)</w:t>
      </w:r>
      <w:r>
        <w:rPr>
          <w:rFonts w:ascii="Tahoma" w:hAnsi="Tahoma"/>
          <w:sz w:val="22"/>
          <w:szCs w:val="22"/>
        </w:rPr>
        <w:t>, zwane w dalszej części „oferentem”, które łącznie spełniają następujące warunki: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1) prowadzą działalność nieodpłatna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>
      <w:pPr>
        <w:pStyle w:val="Standard"/>
        <w:spacing w:lineRule="auto" w:line="276"/>
        <w:jc w:val="both"/>
        <w:rPr/>
      </w:pPr>
      <w:r>
        <w:rPr>
          <w:rFonts w:ascii="Tahoma" w:hAnsi="Tahoma"/>
          <w:sz w:val="22"/>
          <w:szCs w:val="22"/>
        </w:rPr>
        <w:t>2) przedstawią czytelnie sporządzoną ofertę, na formularzu</w:t>
      </w:r>
      <w:r>
        <w:rPr>
          <w:rFonts w:eastAsia="Times New Roman" w:cs="Arial" w:ascii="Tahoma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z 2018 r., poz. 2057), w sprawie wzorów ofert i ramowych wzorów umów dotyczących realizacji zadań publicznych oraz wzorów sprawozdań z wykonania tych zadań. Wzory: ofert, umowy                             i  sprawozdania, dostępne są w Biuletynie Informacji Publicznej na stronie                              </w:t>
      </w:r>
      <w:hyperlink r:id="rId2">
        <w:r>
          <w:rPr>
            <w:rStyle w:val="Czeinternetowe"/>
            <w:rFonts w:eastAsia="Times New Roman" w:cs="Arial" w:ascii="Tahoma" w:hAnsi="Tahoma"/>
            <w:color w:val="00000A"/>
            <w:sz w:val="22"/>
            <w:szCs w:val="22"/>
            <w:lang w:bidi="ar-SA"/>
          </w:rPr>
          <w:t>www.bip.um</w:t>
        </w:r>
      </w:hyperlink>
      <w:hyperlink r:id="rId3">
        <w:r>
          <w:rPr>
            <w:rStyle w:val="Czeinternetowe"/>
            <w:rFonts w:eastAsia="Times New Roman" w:cs="Arial" w:ascii="Tahoma" w:hAnsi="Tahoma"/>
            <w:color w:val="00000A"/>
            <w:sz w:val="22"/>
            <w:szCs w:val="22"/>
            <w:lang w:bidi="ar-SA"/>
          </w:rPr>
          <w:t>-</w:t>
        </w:r>
      </w:hyperlink>
      <w:hyperlink r:id="rId4">
        <w:r>
          <w:rPr>
            <w:rStyle w:val="Czeinternetowe"/>
            <w:rFonts w:ascii="Tahoma" w:hAnsi="Tahoma"/>
            <w:color w:val="00000A"/>
            <w:sz w:val="22"/>
            <w:szCs w:val="22"/>
          </w:rPr>
          <w:t>lubin.dolnyslask.pl</w:t>
        </w:r>
      </w:hyperlink>
      <w:r>
        <w:rPr>
          <w:rFonts w:eastAsia="Times New Roman" w:cs="Arial" w:ascii="Tahoma" w:hAnsi="Tahoma"/>
          <w:sz w:val="22"/>
          <w:szCs w:val="22"/>
          <w:lang w:bidi="ar-SA"/>
        </w:rPr>
        <w:t xml:space="preserve"> w folderze Organizacje Pozarządowe oraz w Wydziale Oświaty, Kultury i  Nadzoru Właścicielskiego, pokój Nr 113 Urzędu Miejskiegow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>
        <w:rPr>
          <w:rFonts w:eastAsia="Times New Roman" w:cs="Arial" w:ascii="Tahoma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>
        <w:rPr>
          <w:rFonts w:eastAsia="Times New Roman" w:cs="Arial" w:ascii="Tahoma" w:hAnsi="Tahoma"/>
          <w:b/>
          <w:sz w:val="22"/>
          <w:szCs w:val="22"/>
          <w:lang w:bidi="ar-SA"/>
        </w:rPr>
        <w:t>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</w:t>
      </w:r>
      <w:r>
        <w:rPr>
          <w:rFonts w:eastAsia="Times New Roman" w:cs="Arial" w:ascii="Tahoma" w:hAnsi="Tahoma"/>
          <w:b/>
          <w:color w:val="FF0000"/>
          <w:sz w:val="22"/>
          <w:szCs w:val="22"/>
          <w:lang w:bidi="ar-SA"/>
        </w:rPr>
        <w:t xml:space="preserve">. </w:t>
      </w:r>
      <w:r>
        <w:rPr>
          <w:rFonts w:eastAsia="Times New Roman" w:cs="Arial" w:ascii="Tahoma" w:hAnsi="Tahoma"/>
          <w:b/>
          <w:sz w:val="22"/>
          <w:szCs w:val="22"/>
          <w:lang w:bidi="ar-SA"/>
        </w:rPr>
        <w:t>4 ust 4aa ustawy z dnia 20 sierpnia 1997 r o Krajowym Rejestrze Sądowym (t.j. Dz.U. z 2022 r., poz. 1683 ze zm.) oraz pełnomocnictwa lub upoważniania zarządu głównego do składnia oświadczeń woli w jego imieniu, wydane dla osób go reprezentujących z oddziałów terenowych nieposiadających osobowości prawnej.  W przypadku składania kserokopii dokumentów wymagane jest ich poświadczenie za zgodność z oryginałem przez osoby upoważnione,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3) „Opis zakładanych rezultatów działania (część III.5 oferty), należy opisać zakładane rezultaty zadania publicznego: co będzie bezpośrednim efektem (produkt lub usługi), jaka zmian społeczna zostanie osiągnięta, czy przewidywane jest wykorzystanie osiągniętych rezultatów w dalszych działaniach organizacji,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4) 1. „Kalkulację przewidywanych kosztów realizacji zadania publicznego” w części V.A i V.B ofert należy sporządzić na rok 2023. Kalkulacja musi być szczegółowa i wyraźnie wyodrębniać koszty związane z ponoszeniem ewentualnych nakładów inwestycyjnych od pozostałych kosztów poprzez ujęcie ich w odrębnych pozycjach kosztorysowych i odpowiednie ich nazwanie oraz opisanie ich szczegółowo w części IV oferty „Inne informacje”,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Działania wskazane do realizacji w części III.4 powinny być oszacowane i opisane również pod względem ryzyka związanego z zagrożeniem epidemiologiczny oraz potencjalnym ryzykiem energetycznym i innym,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do oferenta należy wpisać „nie dotyczy”,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 xml:space="preserve">6) zadanie publiczne nie może być realizowane przez podmiot nie będący stroną umowy,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7) złożenie oferty nie jest jednoznaczne z przyznaniem dotacji,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8) zastrzega się możliwość zmiany wysokości i zakresu dotacji w stosunku do złożonej oferty.</w:t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9) w trakcie realizacji zadania publicznego wszelkie zmiany, uzupełnienia i oświadczenia składane  w  związku z zawartą umową będą wymagały pod rygorem nieważności zawarcia formy pisemnej,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 xml:space="preserve"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przedstawionych w umowie powyżej 20 % wymagają pisemnej zgody Gminy Miejskiej Lubin,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 xml:space="preserve">11) jeżeli dany wydatek finansowany z dotacji wskazany w sprawozdaniu z wykonania zadania publicznego nie jest równy odpowiedniemu kosztowi określonemu w umowie, to uznaje się go za zgodny z umową, gdy nie nastąpiło jego zwiększenie o więcej niż 20 %.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12) oferent zobowiązany jest do przestrzegania zapisów ustawy z dnia 13 maja 2016 r.                                o przeciwdziałaniu zagrożeniom przestępczością na tle seksualnym w szczególności art. 21 „przed nawiązaniem stosunku pracy lub przed dopuszczeniem osoby do innej działalności związanej                   z wychowaniem, edukacją, wypoczynkiem, leczeniem małoletnich lub z opieką nad nimi pracodawcy lub organizatorzy w zakresie takiej działalności są obowiązani do uzyskania informacji, czy dane tej osoby są zamieszczone w Rejestrze z dostępem ograniczonym”,</w:t>
      </w:r>
    </w:p>
    <w:p>
      <w:pPr>
        <w:pStyle w:val="Normal"/>
        <w:tabs>
          <w:tab w:val="left" w:pos="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 xml:space="preserve">13) </w:t>
      </w:r>
      <w:r>
        <w:rPr>
          <w:rFonts w:eastAsia="Courier New" w:cs="Times New Roman" w:ascii="Tahoma" w:hAnsi="Tahoma"/>
          <w:sz w:val="22"/>
          <w:szCs w:val="22"/>
        </w:rPr>
        <w:t>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e.c.) jak również abonamentu telefonicznego                     i obsługi księgowej będą brane pod uwagę tylko w części dotyczącej realizowanego zadania,</w:t>
      </w:r>
    </w:p>
    <w:p>
      <w:pPr>
        <w:pStyle w:val="Normal"/>
        <w:tabs>
          <w:tab w:val="left" w:pos="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Times New Roman" w:ascii="Tahoma" w:hAnsi="Tahoma"/>
          <w:sz w:val="22"/>
          <w:szCs w:val="22"/>
        </w:rPr>
        <w:t xml:space="preserve">14) </w:t>
      </w:r>
      <w:r>
        <w:rPr>
          <w:rFonts w:eastAsia="Courier New" w:cs="Times New Roman" w:ascii="Tahoma" w:hAnsi="Tahoma"/>
          <w:b/>
          <w:sz w:val="22"/>
          <w:szCs w:val="22"/>
        </w:rPr>
        <w:t>w ramach środków finansowych Gminy Miejskiej Lubin niedozwolone jest podwójne finasowanie wydatku czyli zrefundowanie całkowite danego wydatku dwa razy z środków publicznych i innych zarówno krajowych jaki i wspólnotowych.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b/>
          <w:i/>
          <w:sz w:val="22"/>
          <w:szCs w:val="22"/>
        </w:rPr>
        <w:t xml:space="preserve">UWAGA! </w:t>
      </w:r>
      <w:r>
        <w:rPr>
          <w:rFonts w:eastAsia="Courier New" w:cs="Courier New" w:ascii="Tahoma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b/>
          <w:sz w:val="22"/>
          <w:szCs w:val="22"/>
        </w:rPr>
        <w:t>2.Termin i warunki realizacji zadania: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 xml:space="preserve">Termin realizacji zadania: </w:t>
      </w:r>
      <w:r>
        <w:rPr>
          <w:rFonts w:eastAsia="Courier New" w:cs="Courier New" w:ascii="Tahoma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</w:t>
      </w:r>
      <w:r>
        <w:rPr>
          <w:rFonts w:eastAsia="Courier New" w:cs="Courier New" w:ascii="Tahoma" w:hAnsi="Tahoma"/>
          <w:b/>
          <w:bCs/>
          <w:i/>
          <w:iCs/>
          <w:color w:val="000000"/>
          <w:sz w:val="22"/>
          <w:szCs w:val="22"/>
        </w:rPr>
        <w:t xml:space="preserve">ermin realizacji zadania określony zostanie w umowie, nie dłuższy jednak niż do dnia 31 grudnia 2023 r.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1)Ogłaszający zastrzega sobie, że w przypadku nie podpisania umowy ze składającym ofertę, poniesione przez oferenta ewentualne koszy realizacji zadania nie podlegają zwrotowi</w:t>
        <w:br/>
        <w:t>a oferent  nie nabywa prawa do roszczeń z tego tytułu.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Podmiot składający ofertę na realizację zadnia powinien posiadać:</w:t>
      </w:r>
    </w:p>
    <w:p>
      <w:pPr>
        <w:pStyle w:val="Standard"/>
        <w:numPr>
          <w:ilvl w:val="0"/>
          <w:numId w:val="1"/>
        </w:numPr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niezbędne doświadczenie w realizacji zadań objętych ogłoszeniem o konkursie,</w:t>
      </w:r>
    </w:p>
    <w:p>
      <w:pPr>
        <w:pStyle w:val="Standard"/>
        <w:numPr>
          <w:ilvl w:val="0"/>
          <w:numId w:val="1"/>
        </w:numPr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wykwalifikowaną kadrę, jeżeli realizacja zadania lub jego cześć wymaga posiadania stosownych kwalifikacji a wymóg taki wynika z obowiązujących przepisów prawa. Opis zasobów kadrowych, bez podawania danych osobowych, należy opisać w ofercie.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Zadanie powinno być realizowane zgodnie ze złożoną ofertą,  zawartą umową oraz harmonogramem i kosztorysem stanowiącymi załączniki do umowy a adresatami winni być mieszkańcy Miasta Lubina.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</w:rPr>
        <w:t>2) Dodatkowo wymagane jest oświadczenie Oferenta, że podmiot składający ofertę prowadzi schronisko, noclegownię i ogrzewalnię, w rozumieniu art. 48 a ustawy z dnia 12 marca 2004 r.                    o pomocy społecznej, oraz spełnia standardy podstawowych usług określonych w rozporządzeniu Ministra Rodzin, Pracy i Polityki Społecznej z dnia 27 kwietnia 2018 r. w sprawie minimalnych standardów noclegowni, schronisk dla osób bezdomnych, schronisk dla osób bezdomnych                           z usługami opiekuńczymi i ogrzewalni.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3) Wynagrodzenie z tytułu działalności odpłatnej, prowadzonej przez oferenta w sferze zadania objętego konkursem (np. świadczenie pieniężne od odbiorców zadania), nie może być wyższe od tego, jakie wynika z kosztów tej działalności. Ponadto przeciętne wynagrodzenie osoby fizycznej z tytułu zatrudnienia przy wykonywaniu statutowej działalności odpłatnej pożytku publicznego, za okres ostatniego roku obrotowego, a w przypadku zatrudnienia trwającego krócej niż rok obrotowy – za okres zatrudnienia, nie może przekraczać 3-krotności przeciętnego wynagrodzenie w sektorze przedsiębiorstw ogłoszonego przez Prezesa Głównego Urzędu Statystycznego za rok poprzedni.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3) W przypadku, gdy oferent wnosi do realizacji zadania wkład w postaci pracy wolontariuszy/pracy społecznej członków organizacji wymagane jest: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 xml:space="preserve">- prowadzenie na bieżąco kart pracy wraz z opisem wykonywanej pracy, niezbędnych do rozliczenia zadania, 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>
      <w:pPr>
        <w:pStyle w:val="Dtz"/>
        <w:numPr>
          <w:ilvl w:val="0"/>
          <w:numId w:val="0"/>
        </w:numPr>
        <w:spacing w:lineRule="auto" w:line="276" w:before="280" w:after="280"/>
        <w:ind w:left="0" w:hanging="0"/>
        <w:jc w:val="both"/>
        <w:outlineLvl w:val="1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4) Przyznana dotacja może być wydatkowana tylko na cele związane z realizowanym zadaniem i na potrzeby osób, do których zadanie jest adresowane.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Courier New" w:cs="Courier New" w:ascii="Tahoma" w:hAnsi="Tahoma"/>
          <w:sz w:val="22"/>
          <w:szCs w:val="22"/>
          <w:lang w:bidi="ar-SA"/>
        </w:rPr>
        <w:t xml:space="preserve">5) </w:t>
      </w:r>
      <w:r>
        <w:rPr>
          <w:rFonts w:eastAsia="Times New Roman" w:cs="Arial" w:ascii="Tahoma" w:hAnsi="Tahoma"/>
          <w:sz w:val="22"/>
          <w:szCs w:val="22"/>
          <w:lang w:bidi="ar-SA"/>
        </w:rPr>
        <w:t>Termin składnia ofert:</w:t>
      </w:r>
    </w:p>
    <w:p>
      <w:pPr>
        <w:pStyle w:val="Standard"/>
        <w:tabs>
          <w:tab w:val="left" w:pos="34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b/>
          <w:bCs/>
          <w:i/>
          <w:iCs/>
          <w:sz w:val="22"/>
          <w:szCs w:val="22"/>
          <w:lang w:bidi="ar-SA"/>
        </w:rPr>
        <w:t>Oferty wraz z załącznikami obligatoryjnymi należy składać do dnia 19 grudnia 2022 r. włącznie do godziny 12.00, w zaklejonych kopertach w Urzędzie Miejskim w Lubinie, ul. Kilińskiego 10, w Biurze Obsługi Interesanta, pokój nr 13. Na kopercie należy umieścić treść “Organizacje pozarządowe – Konkurs ofert 2023 r. – Pomoc społeczna” wraz z podaniem nazwy organizacji. Potwierdzenie złożenia oferty można uzyskać w pokoju Nr 113 Urzędu Miejskiego w Lubinie</w:t>
      </w:r>
      <w:r>
        <w:rPr>
          <w:rFonts w:eastAsia="Times New Roman" w:cs="Arial" w:ascii="Tahoma" w:hAnsi="Tahoma"/>
          <w:sz w:val="22"/>
          <w:szCs w:val="22"/>
          <w:lang w:bidi="ar-SA"/>
        </w:rPr>
        <w:t xml:space="preserve">. </w:t>
      </w:r>
      <w:r>
        <w:rPr>
          <w:rFonts w:eastAsia="Times New Roman" w:cs="Arial" w:ascii="Tahoma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>
      <w:pPr>
        <w:pStyle w:val="Standard"/>
        <w:tabs>
          <w:tab w:val="left" w:pos="34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bCs/>
          <w:iCs/>
          <w:sz w:val="22"/>
          <w:szCs w:val="22"/>
          <w:lang w:bidi="ar-SA"/>
        </w:rPr>
        <w:t xml:space="preserve">6) Oferent może złożyć tylko jedną ofertę wraz z załącznikami, podpisaną przez osoby upoważnione do składnia oświadczeń woli w imieniu oferenta. </w:t>
      </w:r>
    </w:p>
    <w:p>
      <w:pPr>
        <w:pStyle w:val="Standard"/>
        <w:tabs>
          <w:tab w:val="left" w:pos="34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>
      <w:pPr>
        <w:pStyle w:val="Standard"/>
        <w:tabs>
          <w:tab w:val="left" w:pos="340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1) Termin i tryb.</w:t>
      </w:r>
    </w:p>
    <w:p>
      <w:pPr>
        <w:pStyle w:val="Standard"/>
        <w:numPr>
          <w:ilvl w:val="0"/>
          <w:numId w:val="1"/>
        </w:numPr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 xml:space="preserve">Rozstrzygnięcie konkursu nastąpi najpóźniej do dnia </w:t>
      </w:r>
      <w:r>
        <w:rPr>
          <w:rFonts w:eastAsia="Times New Roman" w:cs="Arial" w:ascii="Tahoma" w:hAnsi="Tahoma"/>
          <w:b/>
          <w:bCs/>
          <w:sz w:val="22"/>
          <w:szCs w:val="22"/>
          <w:lang w:bidi="ar-SA"/>
        </w:rPr>
        <w:t xml:space="preserve">22 grudnia 2022 r. nie wcześniej jednak niż po przyjęciu uchwały w sprawie budżetu miasta Lubina na 2023 r. </w:t>
      </w:r>
    </w:p>
    <w:p>
      <w:pPr>
        <w:pStyle w:val="Standard"/>
        <w:numPr>
          <w:ilvl w:val="0"/>
          <w:numId w:val="1"/>
        </w:numPr>
        <w:spacing w:lineRule="auto" w:line="276"/>
        <w:jc w:val="both"/>
        <w:rPr/>
      </w:pPr>
      <w:r>
        <w:rPr>
          <w:rFonts w:eastAsia="Times New Roman" w:cs="Arial" w:ascii="Tahoma" w:hAnsi="Tahoma"/>
          <w:sz w:val="22"/>
          <w:szCs w:val="22"/>
          <w:lang w:bidi="ar-SA"/>
        </w:rPr>
        <w:t>Oferty zostaną zaopiniowane przez Komisję Konkursową, powołaną zgodnie</w:t>
        <w:br/>
        <w:t>z obowiązująca</w:t>
      </w:r>
      <w:r>
        <w:rPr>
          <w:rFonts w:eastAsia="Times New Roman" w:cs="Times New Roman" w:ascii="Tahoma" w:hAnsi="Tahoma"/>
          <w:color w:val="FF0000"/>
          <w:sz w:val="22"/>
          <w:szCs w:val="22"/>
        </w:rPr>
        <w:t xml:space="preserve"> </w:t>
      </w:r>
      <w:r>
        <w:rPr>
          <w:rFonts w:eastAsia="Times New Roman" w:cs="Times New Roman" w:ascii="Tahoma" w:hAnsi="Tahoma"/>
          <w:sz w:val="22"/>
          <w:szCs w:val="22"/>
        </w:rPr>
        <w:t>uchwałą</w:t>
      </w:r>
      <w:r>
        <w:rPr>
          <w:rFonts w:eastAsia="Times New Roman" w:cs="Times New Roman" w:ascii="Tahoma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>
        <w:rPr>
          <w:rFonts w:eastAsia="Times New Roman" w:cs="Times New Roman" w:ascii="Tahoma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</w:t>
      </w:r>
      <w:r>
        <w:rPr>
          <w:rFonts w:eastAsia="Arial" w:cs="Arial" w:ascii="Tahoma" w:hAnsi="Tahoma"/>
          <w:color w:val="FF0000"/>
          <w:sz w:val="22"/>
          <w:szCs w:val="22"/>
        </w:rPr>
        <w:t xml:space="preserve">, </w:t>
      </w:r>
      <w:r>
        <w:rPr>
          <w:rFonts w:eastAsia="Times New Roman" w:cs="Arial" w:ascii="Tahoma" w:hAnsi="Tahoma"/>
          <w:sz w:val="22"/>
          <w:szCs w:val="22"/>
          <w:lang w:bidi="ar-SA"/>
        </w:rPr>
        <w:t xml:space="preserve">(do wglądu w Wydziale Oświaty, Kultury i Nadzoru Właścicielskiego pok. 113, oraz w Biuletynie Informacji Publicznej: </w:t>
      </w:r>
      <w:hyperlink r:id="rId5">
        <w:r>
          <w:rPr>
            <w:rStyle w:val="Czeinternetowe"/>
            <w:rFonts w:eastAsia="Times New Roman" w:cs="Arial" w:ascii="Tahoma" w:hAnsi="Tahoma"/>
            <w:color w:val="FF0000"/>
            <w:sz w:val="22"/>
            <w:szCs w:val="22"/>
            <w:lang w:bidi="ar-SA"/>
          </w:rPr>
          <w:t>www.bip.um</w:t>
        </w:r>
      </w:hyperlink>
      <w:hyperlink r:id="rId6">
        <w:r>
          <w:rPr>
            <w:rStyle w:val="Czeinternetowe"/>
            <w:rFonts w:eastAsia="Times New Roman" w:cs="Arial" w:ascii="Tahoma" w:hAnsi="Tahoma"/>
            <w:color w:val="FF0000"/>
            <w:sz w:val="22"/>
            <w:szCs w:val="22"/>
            <w:lang w:bidi="ar-SA"/>
          </w:rPr>
          <w:t>-</w:t>
        </w:r>
      </w:hyperlink>
      <w:hyperlink r:id="rId7">
        <w:r>
          <w:rPr>
            <w:rStyle w:val="Czeinternetowe"/>
            <w:rFonts w:eastAsia="Times New Roman" w:cs="Arial" w:ascii="Tahoma" w:hAnsi="Tahoma"/>
            <w:color w:val="FF0000"/>
            <w:sz w:val="22"/>
            <w:szCs w:val="22"/>
            <w:lang w:bidi="ar-SA"/>
          </w:rPr>
          <w:t>lubin.dolnyslask.pl</w:t>
        </w:r>
      </w:hyperlink>
      <w:r>
        <w:rPr>
          <w:rFonts w:eastAsia="Times New Roman" w:cs="Arial" w:ascii="Tahoma" w:hAnsi="Tahoma"/>
          <w:sz w:val="22"/>
          <w:szCs w:val="22"/>
          <w:lang w:bidi="ar-SA"/>
        </w:rPr>
        <w:t xml:space="preserve"> ).</w:t>
      </w:r>
    </w:p>
    <w:p>
      <w:pPr>
        <w:pStyle w:val="Textbody"/>
        <w:numPr>
          <w:ilvl w:val="0"/>
          <w:numId w:val="1"/>
        </w:numPr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 xml:space="preserve">Prezydent Miasta Lubina lub osoba przez niego upoważniona na podstawie protokołu końcowego z postępowania konkursowego podejmuje decyzję o przyjęciu oferty </w:t>
        <w:br/>
        <w:t>do realizacji oraz przeznaczeniu i wysokości dotacji, której kwota nie może być większa niż wskazana w treści ogłoszenia.</w:t>
      </w:r>
    </w:p>
    <w:p>
      <w:pPr>
        <w:pStyle w:val="Textbody"/>
        <w:numPr>
          <w:ilvl w:val="0"/>
          <w:numId w:val="1"/>
        </w:numPr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Wyniki otwartego konkursu ofert, wraz z informacją o nazwie oferenta, nazwie zadania publicznego i wysokości przyznanych środków publicznych, zostaną umieszczone:</w:t>
        <w:br/>
        <w:t>w Biuletynie Informacji Publicznej i na stronie internetowej Urzędu; w siedzibie Urzędu Gminy Miejskiej Lubin, w terminie do 14 dni od daty rozstrzygnięcia postępowania konkursowego.</w:t>
      </w:r>
    </w:p>
    <w:p>
      <w:pPr>
        <w:pStyle w:val="Textbody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2) Kryteria i skala ocen złożonych ofert: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>Oferty oceniane będą wg kryteriów określonych w art. 15 ust 1. ustawy</w:t>
      </w:r>
      <w:r>
        <w:rPr>
          <w:rFonts w:eastAsia="Arial" w:cs="Arial" w:ascii="Tahoma" w:hAnsi="Tahoma"/>
          <w:sz w:val="22"/>
          <w:szCs w:val="22"/>
        </w:rPr>
        <w:t xml:space="preserve"> z dnia 24 kwietnia 2003r.</w:t>
        <w:br/>
        <w:t>o działalności pożytku publicznego i o wolontariacie (tekst jednolity: Dz.U. z 2022 r., poz.1327 ze zm.) jedną oceną, w skali od 0 do 10 przez każdego z członków komisji. Oferty wraz</w:t>
        <w:br/>
        <w:t>z załącznikami po zakończeniu postępowania nie będą zwracane oferentowi.</w:t>
      </w:r>
    </w:p>
    <w:p>
      <w:pPr>
        <w:pStyle w:val="Textbody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2</w:t>
      </w:r>
    </w:p>
    <w:p>
      <w:pPr>
        <w:pStyle w:val="Standard"/>
        <w:tabs>
          <w:tab w:val="left" w:pos="-570" w:leader="none"/>
        </w:tabs>
        <w:spacing w:lineRule="auto" w:line="276"/>
        <w:rPr>
          <w:rFonts w:ascii="Tahoma" w:hAnsi="Tahoma"/>
          <w:sz w:val="22"/>
          <w:szCs w:val="22"/>
        </w:rPr>
      </w:pPr>
      <w:r>
        <w:rPr>
          <w:rFonts w:eastAsia="Arial" w:cs="Arial" w:ascii="Tahoma" w:hAnsi="Tahoma"/>
          <w:b/>
          <w:bCs/>
          <w:sz w:val="22"/>
          <w:szCs w:val="22"/>
          <w:lang w:bidi="ar-SA"/>
        </w:rPr>
        <w:tab/>
      </w:r>
      <w:r>
        <w:rPr>
          <w:rFonts w:eastAsia="Arial" w:cs="Arial" w:ascii="Tahoma" w:hAnsi="Tahoma"/>
          <w:sz w:val="22"/>
          <w:szCs w:val="22"/>
          <w:lang w:bidi="ar-SA"/>
        </w:rPr>
        <w:t>Zarządzenie wchodzi w życie z dniem 25 listopada 2022 roku.</w:t>
      </w:r>
    </w:p>
    <w:p>
      <w:pPr>
        <w:pStyle w:val="Textbodyindent"/>
        <w:tabs>
          <w:tab w:val="left" w:pos="-570" w:leader="none"/>
        </w:tabs>
        <w:spacing w:lineRule="auto" w:line="276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Textbodyindent"/>
        <w:tabs>
          <w:tab w:val="left" w:pos="-570" w:leader="none"/>
        </w:tabs>
        <w:spacing w:lineRule="auto" w:line="276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Textbodyindent"/>
        <w:tabs>
          <w:tab w:val="left" w:pos="-570" w:leader="none"/>
        </w:tabs>
        <w:spacing w:lineRule="auto" w:line="276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Normal"/>
        <w:tabs>
          <w:tab w:val="left" w:pos="-570" w:leader="none"/>
        </w:tabs>
        <w:spacing w:lineRule="auto" w:line="276"/>
        <w:jc w:val="left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  <w:tab/>
        <w:tab/>
        <w:tab/>
        <w:tab/>
        <w:tab/>
        <w:tab/>
        <w:tab/>
        <w:tab/>
        <w:t>z up. PREZYDENTA MIASTA</w:t>
      </w:r>
      <w:bookmarkStart w:id="1" w:name="page51R_mcid42"/>
      <w:bookmarkEnd w:id="1"/>
      <w:r>
        <w:rPr>
          <w:rFonts w:eastAsia="Times New Roman" w:cs="Arial" w:ascii="Tahoma" w:hAnsi="Tahoma"/>
          <w:sz w:val="22"/>
          <w:szCs w:val="22"/>
          <w:lang w:bidi="ar-SA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2" w:name="page51R_mcid43"/>
      <w:bookmarkEnd w:id="2"/>
      <w:r>
        <w:rPr>
          <w:rFonts w:eastAsia="Times New Roman" w:cs="Arial" w:ascii="Tahoma" w:hAnsi="Tahoma"/>
          <w:sz w:val="22"/>
          <w:szCs w:val="22"/>
          <w:lang w:bidi="ar-SA"/>
        </w:rPr>
        <w:br/>
        <w:tab/>
        <w:tab/>
        <w:tab/>
        <w:tab/>
        <w:tab/>
        <w:tab/>
        <w:tab/>
        <w:tab/>
        <w:t xml:space="preserve">Sekretarz Miasta </w:t>
      </w:r>
    </w:p>
    <w:p>
      <w:pPr>
        <w:pStyle w:val="Textbodyindent"/>
        <w:tabs>
          <w:tab w:val="left" w:pos="-570" w:leader="none"/>
        </w:tabs>
        <w:spacing w:lineRule="auto" w:line="276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Textbodyindent"/>
        <w:tabs>
          <w:tab w:val="left" w:pos="-570" w:leader="none"/>
        </w:tabs>
        <w:spacing w:lineRule="auto" w:line="276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Textbodyindent"/>
        <w:tabs>
          <w:tab w:val="left" w:pos="-570" w:leader="none"/>
        </w:tabs>
        <w:spacing w:lineRule="auto" w:line="360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</w:r>
    </w:p>
    <w:p>
      <w:pPr>
        <w:pStyle w:val="Textbodyindent"/>
        <w:tabs>
          <w:tab w:val="left" w:pos="-570" w:leader="none"/>
        </w:tabs>
        <w:spacing w:lineRule="auto" w:line="36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◦"/>
      <w:lvlJc w:val="left"/>
      <w:pPr>
        <w:ind w:left="144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◦"/>
      <w:lvlJc w:val="left"/>
      <w:pPr>
        <w:ind w:left="252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ind w:left="288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◦"/>
      <w:lvlJc w:val="left"/>
      <w:pPr>
        <w:ind w:left="360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ind w:left="396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560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cc5600"/>
    <w:rPr>
      <w:color w:val="0000FF"/>
      <w:u w:val="single"/>
    </w:rPr>
  </w:style>
  <w:style w:type="character" w:styleId="Mocnowyrniony" w:customStyle="1">
    <w:name w:val="Mocno wyróżniony"/>
    <w:qFormat/>
    <w:rsid w:val="00cc5600"/>
    <w:rPr>
      <w:b/>
      <w:bCs/>
    </w:rPr>
  </w:style>
  <w:style w:type="character" w:styleId="ListLabel1">
    <w:name w:val="ListLabel 1"/>
    <w:qFormat/>
    <w:rPr>
      <w:rFonts w:ascii="Tahoma" w:hAnsi="Tahoma" w:cs="Symbol"/>
      <w:sz w:val="22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cc560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cc5600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cc560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cc5600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cc5600"/>
    <w:pPr>
      <w:jc w:val="both"/>
    </w:pPr>
    <w:rPr/>
  </w:style>
  <w:style w:type="paragraph" w:styleId="Zawartotabeli" w:customStyle="1">
    <w:name w:val="Zawartość tabeli"/>
    <w:basedOn w:val="Standard"/>
    <w:qFormat/>
    <w:rsid w:val="00cc5600"/>
    <w:pPr>
      <w:suppressLineNumbers/>
    </w:pPr>
    <w:rPr/>
  </w:style>
  <w:style w:type="paragraph" w:styleId="Dtz" w:customStyle="1">
    <w:name w:val="dtz"/>
    <w:basedOn w:val="Normal"/>
    <w:qFormat/>
    <w:rsid w:val="00cc5600"/>
    <w:pPr>
      <w:widowControl/>
      <w:suppressAutoHyphens w:val="false"/>
      <w:spacing w:beforeAutospacing="1" w:afterAutospacing="1"/>
    </w:pPr>
    <w:rPr>
      <w:rFonts w:eastAsia="Times New Roman" w:cs="Times New Roman"/>
      <w:lang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ip.um-lubin.dolnyslask.pl/" TargetMode="External"/><Relationship Id="rId3" Type="http://schemas.openxmlformats.org/officeDocument/2006/relationships/hyperlink" Target="http://www.bip.um-lubin.dolnyslask.pl/" TargetMode="External"/><Relationship Id="rId4" Type="http://schemas.openxmlformats.org/officeDocument/2006/relationships/hyperlink" Target="http://www.bip.um-lubin.dolnyslask.pl/" TargetMode="External"/><Relationship Id="rId5" Type="http://schemas.openxmlformats.org/officeDocument/2006/relationships/hyperlink" Target="http://www.bip.um-lubin.dolnyslask.pl/" TargetMode="External"/><Relationship Id="rId6" Type="http://schemas.openxmlformats.org/officeDocument/2006/relationships/hyperlink" Target="http://www.bip.um-lubin.dolnyslask.pl/" TargetMode="External"/><Relationship Id="rId7" Type="http://schemas.openxmlformats.org/officeDocument/2006/relationships/hyperlink" Target="http://www.bip.um-lubin.dolnyslask.pl/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LibreOffice/5.3.0.3$Windows_x86 LibreOffice_project/7074905676c47b82bbcfbea1aeefc84afe1c50e1</Application>
  <Pages>5</Pages>
  <Words>2210</Words>
  <Characters>13655</Characters>
  <CharactersWithSpaces>16186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2022-11-16T10:02:00Z</dcterms:created>
  <dc:creator>Kamila Hyz-Duda</dc:creator>
  <dc:description/>
  <dc:language>pl-PL</dc:language>
  <cp:lastModifiedBy/>
  <cp:lastPrinted>2022-11-23T14:04:00Z</cp:lastPrinted>
  <dcterms:modified xsi:type="dcterms:W3CDTF">2022-12-16T06:46:40Z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