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ZARZĄDZENIE P.0050.</w:t>
      </w:r>
      <w:r>
        <w:rPr>
          <w:rFonts w:ascii="Tahoma" w:hAnsi="Tahoma"/>
          <w:b/>
          <w:sz w:val="22"/>
          <w:szCs w:val="22"/>
          <w:lang w:val="pl-PL"/>
        </w:rPr>
        <w:t>318.</w:t>
      </w:r>
      <w:r>
        <w:rPr>
          <w:rFonts w:ascii="Tahoma" w:hAnsi="Tahoma"/>
          <w:b/>
          <w:sz w:val="22"/>
          <w:szCs w:val="22"/>
          <w:lang w:val="pl-PL"/>
        </w:rPr>
        <w:t>2022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>
        <w:rPr>
          <w:rFonts w:ascii="Tahoma" w:hAnsi="Tahoma"/>
          <w:b/>
          <w:sz w:val="22"/>
          <w:szCs w:val="22"/>
          <w:lang w:val="pl-PL"/>
        </w:rPr>
        <w:t xml:space="preserve">12 </w:t>
      </w:r>
      <w:r>
        <w:rPr>
          <w:rFonts w:ascii="Tahoma" w:hAnsi="Tahoma"/>
          <w:b/>
          <w:sz w:val="22"/>
          <w:szCs w:val="22"/>
          <w:lang w:val="pl-PL"/>
        </w:rPr>
        <w:t>GRUDNIA 2022R.</w:t>
      </w:r>
    </w:p>
    <w:p>
      <w:pPr>
        <w:pStyle w:val="Standard"/>
        <w:jc w:val="center"/>
        <w:rPr>
          <w:rFonts w:ascii="Tahoma" w:hAnsi="Tahoma"/>
          <w:b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</w:r>
    </w:p>
    <w:p>
      <w:pPr>
        <w:pStyle w:val="Standard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w sprawie dzierżawy nieruchomości </w:t>
      </w:r>
    </w:p>
    <w:p>
      <w:pPr>
        <w:pStyle w:val="Standard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  <w:r>
        <w:rPr>
          <w:rFonts w:ascii="Tahoma" w:hAnsi="Tahoma"/>
          <w:sz w:val="22"/>
          <w:szCs w:val="22"/>
          <w:lang w:val="pl-PL"/>
        </w:rPr>
        <w:t>Na podstawie art. 11 ust. 1, art. 13 ust. 1, art. 25 ust. 1 ustawy z dnia 21 sierpnia 1997r.                      o gospodarce nieruchomościami (t.j. Dz. U. z 2021r. poz. 1899 z późn. zm.), art. 30 ust. 1</w:t>
        <w:br/>
        <w:t>i ust. 2 pkt 3) ustawy z dnia 8 marca 1990r. o samorządzie gminnym (t.j. Dz.U. z 2022 poz. 559                z późn. zm.),</w:t>
      </w:r>
      <w:r>
        <w:rPr>
          <w:rFonts w:cs="Arial" w:ascii="Tahoma" w:hAnsi="Tahoma"/>
          <w:sz w:val="22"/>
          <w:szCs w:val="22"/>
          <w:lang w:val="pl-PL"/>
        </w:rPr>
        <w:t xml:space="preserve"> Zarządzenia Prezydenta Miasta Lubina P.0050.78.2022 z dnia  30 marca 2022r.                   w sprawie aktualizacji zasad naliczania czynszu dzierżawnego, Zarządzenia Prezydenta Miasta Lubina P.0050.29.2017 z dnia 30 stycznia  2017r. w sprawie wprowadzenia zasad naliczania czynszu dzierżawnego, </w:t>
      </w:r>
      <w:r>
        <w:rPr>
          <w:rFonts w:ascii="Tahoma" w:hAnsi="Tahoma"/>
          <w:sz w:val="22"/>
          <w:szCs w:val="22"/>
          <w:lang w:val="pl-PL"/>
        </w:rPr>
        <w:t xml:space="preserve">§ 2 ust. 4 pkt 1) i pkt 3) załącznika do Uchwały Nr V/37/03 Rady Miejskiej                        w Lubinie z dnia 14 stycznia 2003r. w sprawie zasad gospodarowania nieruchomościami stanowiącymi własność Gminy Miejskiej Lubin </w:t>
      </w:r>
      <w:r>
        <w:rPr>
          <w:rFonts w:ascii="Tahoma" w:hAnsi="Tahoma"/>
          <w:sz w:val="22"/>
          <w:szCs w:val="22"/>
        </w:rPr>
        <w:t xml:space="preserve">(Dz. Urz. Woj. Doln. z 2003r. Nr 13, poz. 330                        z późn. zm.) </w:t>
      </w:r>
      <w:r>
        <w:rPr>
          <w:rFonts w:ascii="Tahoma" w:hAnsi="Tahoma"/>
          <w:sz w:val="22"/>
          <w:szCs w:val="22"/>
          <w:lang w:val="pl-PL"/>
        </w:rPr>
        <w:t>oraz Zarządzenia Prezydenta Miasta Lubina Nr 41 z dnia 22 sierpnia 2019r. w sprawie powierzenia prowadzenia spraw i wykonywania czynności w tym praw i obowiązków                                   p o s t a n a w i a m, co następuje: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bookmarkStart w:id="0" w:name="__DdeLink__10575_1529866905"/>
      <w:r>
        <w:rPr>
          <w:rFonts w:ascii="Tahoma" w:hAnsi="Tahoma"/>
          <w:sz w:val="22"/>
          <w:szCs w:val="22"/>
          <w:lang w:val="pl-PL"/>
        </w:rPr>
        <w:t>§</w:t>
      </w:r>
      <w:bookmarkEnd w:id="0"/>
      <w:r>
        <w:rPr>
          <w:rFonts w:ascii="Tahoma" w:hAnsi="Tahoma"/>
          <w:sz w:val="22"/>
          <w:szCs w:val="22"/>
          <w:lang w:val="pl-PL"/>
        </w:rPr>
        <w:t xml:space="preserve"> 1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w trybie bezprzetargowym na czas nieoznaczony nw. nieruchomości położone w Lubinie z przeznaczeniem jako teren dodatkowy, bez możliwości trwałej zabudowy:</w:t>
      </w: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1038/1, obręb 9 miasta Lubina, przy ul. Asnyka, o łącznej powierzchni 120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43,20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984, obręb 3 miasta Lubina, przy ul. Stary Lubin, o łącznej powierzchni 140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50,40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trzymiesięcznego okresu wypowiedzenia warunków umowy, bądź w każdym momencie na mocy porozumienia.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2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dwóch lat n/w nieruchomość położoną                w Lubinie z przeznaczeniem na prowadzenie działalności gospodarczej, bez możliwości trwałej zabudowy: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 w:cs="Arial"/>
          <w:sz w:val="22"/>
          <w:szCs w:val="22"/>
          <w:u w:val="single"/>
          <w:lang w:val="pl-PL"/>
        </w:rPr>
      </w:pPr>
      <w:r>
        <w:rPr>
          <w:rFonts w:cs="Arial" w:ascii="Tahoma" w:hAnsi="Tahoma"/>
          <w:sz w:val="22"/>
          <w:szCs w:val="22"/>
          <w:u w:val="single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377/6, obręb 9 miasta Lubina, przy ul. Jana Pawła II, o łącznej powierzchni                 15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102,60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miesięcznego okresu wypowiedzenia warunków umowy, bądź w każdym momencie na mocy porozumienia.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3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dwóch lat n/w nieruchomość położoną                w Lubinie z przeznaczeniem na prowadzenie działalności gospodarczej, bez możliwości trwałej zabudowy:</w:t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222/2, obręb 4 miasta Lubina, przy ul. Mickiewicza, o łącznej powierzchni 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136,80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trzymiesięcznego okresu wypowiedzenia warunków umowy, bądź w każdym momencie na mocy porozumienia.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4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trzech lat n/w nieruchomość położoną w Lubinie z przeznaczeniem na prowadzenie działalności gospodarczej, bez możliwości trwałej zabudowy: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 w:cs="Arial"/>
          <w:sz w:val="22"/>
          <w:szCs w:val="22"/>
          <w:u w:val="single"/>
          <w:lang w:val="pl-PL"/>
        </w:rPr>
      </w:pPr>
      <w:r>
        <w:rPr>
          <w:rFonts w:cs="Arial" w:ascii="Tahoma" w:hAnsi="Tahoma"/>
          <w:sz w:val="22"/>
          <w:szCs w:val="22"/>
          <w:u w:val="single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28/18, obręb 2 miasta Lubina, przy ul. Małomickiej, o łącznej powierzchni                     12500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ze stawką czynszu ustaloną w wysokości 563,86 zł netto miesięcznie.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trzymiesięcznego okresu wypowiedzenia warunków umowy, bądź w każdym momencie na mocy porozumienia.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5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trzech lat nw. n</w:t>
      </w:r>
      <w:bookmarkStart w:id="1" w:name="_GoBack"/>
      <w:bookmarkEnd w:id="1"/>
      <w:r>
        <w:rPr>
          <w:rFonts w:cs="Arial" w:ascii="Tahoma" w:hAnsi="Tahoma"/>
          <w:sz w:val="22"/>
          <w:szCs w:val="22"/>
          <w:lang w:val="pl-PL"/>
        </w:rPr>
        <w:t xml:space="preserve">ieruchomości położone                    w Lubinie z przeznaczeniem </w:t>
      </w:r>
      <w:r>
        <w:rPr>
          <w:rFonts w:cs="Arial" w:ascii="Tahoma" w:hAnsi="Tahoma"/>
          <w:sz w:val="22"/>
          <w:szCs w:val="22"/>
          <w:u w:val="single"/>
          <w:lang w:val="pl-PL"/>
        </w:rPr>
        <w:t xml:space="preserve">na posadowienie boksu śmietnikowego, 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 części działki nr 729/4,</w:t>
      </w:r>
      <w:bookmarkStart w:id="2" w:name="_GoBack1"/>
      <w:bookmarkEnd w:id="2"/>
      <w:r>
        <w:rPr>
          <w:rFonts w:eastAsia="Times New Roman" w:cs="Arial" w:ascii="Tahoma" w:hAnsi="Tahoma"/>
          <w:sz w:val="22"/>
          <w:szCs w:val="22"/>
          <w:lang w:val="pl-PL"/>
        </w:rPr>
        <w:t xml:space="preserve"> obręb 9 miasta Lubina, przy ul. Orzeszkowej, o łącznej powierzchni                   20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113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77/8, obręb 5 miasta Lubina, przy ul. Odrodzenia, o łącznej powierzchni 9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>,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113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trzymiesięcznego okresu wypowiedzenia warunków umowy, bądź w każdym momencie na mocy porozumienia.</w:t>
      </w:r>
    </w:p>
    <w:p>
      <w:pPr>
        <w:pStyle w:val="Standard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6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Wyrazić zgodę na przeznaczenie do dzierżawy na okres dwóch lat n/w nieruchomości położonych w Lubinie z przeznaczeniem </w:t>
      </w:r>
      <w:r>
        <w:rPr>
          <w:rFonts w:cs="Arial" w:ascii="Tahoma" w:hAnsi="Tahoma"/>
          <w:sz w:val="22"/>
          <w:szCs w:val="22"/>
          <w:u w:val="single"/>
          <w:lang w:val="pl-PL"/>
        </w:rPr>
        <w:t>na cele rolnicze, bez możliwości trwałej zabudowy:</w:t>
      </w:r>
    </w:p>
    <w:p>
      <w:pPr>
        <w:pStyle w:val="Standard"/>
        <w:tabs>
          <w:tab w:val="clear" w:pos="706"/>
          <w:tab w:val="left" w:pos="375" w:leader="none"/>
        </w:tabs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277 oraz działek nr 275 i 275 obręb 6 miasta Lubina, przy ul. Ścinawskiej,                             o łącznej powierzchni 1678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83,90 zł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220 obręb 2 miasta Lubina, przy ul. Małomickiej, o łącznej powierzchni 2100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105 zł 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działki nr 221/27 obręb 10 miasta Lubina, przy ul. Przemysłowej, o łącznej powierzchni 10000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500 zł 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jc w:val="both"/>
        <w:rPr>
          <w:rFonts w:ascii="Tahoma" w:hAnsi="Tahoma" w:cs="Arial"/>
          <w:b/>
          <w:b/>
          <w:sz w:val="22"/>
          <w:szCs w:val="22"/>
          <w:lang w:val="pl-PL"/>
        </w:rPr>
      </w:pPr>
      <w:r>
        <w:rPr>
          <w:rFonts w:cs="Arial" w:ascii="Tahoma" w:hAnsi="Tahoma"/>
          <w:b/>
          <w:sz w:val="22"/>
          <w:szCs w:val="22"/>
          <w:lang w:val="pl-PL"/>
        </w:rPr>
      </w:r>
    </w:p>
    <w:p>
      <w:pPr>
        <w:pStyle w:val="Standard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miesięcznego okresu wypowiedzenia warunków umowy gdy nieruchomość stanie się Gminie niezbędna, bądź w każdym momencie na mocy porozumienia.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7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Wyrazić zgodę na zawarcie aneksu do umowy użyczenia zawartej z Miejskim Przedsiębiorstwem Oczyszczania Sp. z o.o. w Lubinie, zmieniającego numerację użyczonej nieruchomości z 122 na 122/1 i 122/2 obręb 4 miasta Lubina. 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8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dzierżawy oraz użyczenia, o których mowa w § 1-7, zostaną określone odrębnie.</w:t>
      </w:r>
    </w:p>
    <w:p>
      <w:pPr>
        <w:pStyle w:val="Standard"/>
        <w:tabs>
          <w:tab w:val="clear" w:pos="706"/>
          <w:tab w:val="left" w:pos="945" w:leader="none"/>
        </w:tabs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§ 9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>
        <w:rPr>
          <w:rFonts w:ascii="Tahoma" w:hAnsi="Tahoma"/>
          <w:sz w:val="22"/>
          <w:szCs w:val="22"/>
          <w:lang w:val="pl-PL"/>
        </w:rPr>
        <w:t xml:space="preserve">12 grudnia </w:t>
      </w:r>
      <w:r>
        <w:rPr>
          <w:rFonts w:ascii="Tahoma" w:hAnsi="Tahoma"/>
          <w:sz w:val="22"/>
          <w:szCs w:val="22"/>
          <w:lang w:val="pl-PL"/>
        </w:rPr>
        <w:t>2022r.</w:t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ab/>
        <w:t>z up. PREZYDENTA MIASTA LUBINA</w:t>
      </w:r>
      <w:r>
        <w:rPr>
          <w:rFonts w:ascii="Tahoma" w:hAnsi="Tahoma"/>
          <w:sz w:val="22"/>
          <w:szCs w:val="22"/>
        </w:rPr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/-/ Tomasz Ochocki</w:t>
      </w:r>
      <w:r>
        <w:rPr>
          <w:rFonts w:ascii="Tahoma" w:hAnsi="Tahoma"/>
          <w:sz w:val="22"/>
          <w:szCs w:val="22"/>
        </w:rPr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 xml:space="preserve">Sekretarz Miasta </w:t>
      </w:r>
      <w:bookmarkStart w:id="3" w:name="page1R_mcid41"/>
      <w:bookmarkStart w:id="4" w:name="page1R_mcid40"/>
    </w:p>
    <w:p>
      <w:pPr>
        <w:pStyle w:val="Standard"/>
        <w:tabs>
          <w:tab w:val="clear" w:pos="706"/>
          <w:tab w:val="left" w:pos="945" w:leader="none"/>
        </w:tabs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  <w:bookmarkEnd w:id="3"/>
      <w:bookmarkEnd w:id="4"/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0"/>
      <w:sz w:val="24"/>
      <w:szCs w:val="24"/>
      <w:lang w:val="pl-PL" w:eastAsia="ja-JP" w:bidi="fa-IR"/>
    </w:rPr>
  </w:style>
  <w:style w:type="paragraph" w:styleId="Nagwek1">
    <w:name w:val="Heading 1"/>
    <w:qFormat/>
    <w:pPr>
      <w:keepNext w:val="true"/>
      <w:widowControl w:val="false"/>
      <w:bidi w:val="0"/>
      <w:spacing w:before="0" w:after="0"/>
      <w:jc w:val="center"/>
      <w:outlineLvl w:val="0"/>
    </w:pPr>
    <w:rPr>
      <w:rFonts w:ascii="Times New Roman" w:hAnsi="Times New Roman" w:eastAsia="Andale Sans UI" w:cs="Tahoma"/>
      <w:b/>
      <w:color w:val="auto"/>
      <w:kern w:val="0"/>
      <w:sz w:val="24"/>
      <w:szCs w:val="24"/>
      <w:lang w:val="de-DE" w:eastAsia="ja-JP" w:bidi="fa-IR"/>
    </w:rPr>
  </w:style>
  <w:style w:type="paragraph" w:styleId="Nagwek2">
    <w:name w:val="Heading 2"/>
    <w:qFormat/>
    <w:pPr>
      <w:keepNext w:val="true"/>
      <w:widowControl w:val="false"/>
      <w:bidi w:val="0"/>
      <w:spacing w:before="0" w:after="0"/>
      <w:jc w:val="center"/>
      <w:outlineLvl w:val="1"/>
    </w:pPr>
    <w:rPr>
      <w:rFonts w:ascii="Times New Roman" w:hAnsi="Times New Roman" w:eastAsia="Andale Sans UI" w:cs="Tahoma"/>
      <w:b/>
      <w:color w:val="auto"/>
      <w:kern w:val="0"/>
      <w:sz w:val="32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StopkaZnak" w:customStyle="1">
    <w:name w:val="Stopka Znak"/>
    <w:basedOn w:val="DefaultParagraphFont"/>
    <w:uiPriority w:val="99"/>
    <w:qFormat/>
    <w:rsid w:val="004d3fc7"/>
    <w:rPr>
      <w:lang w:val="pl-PL"/>
    </w:rPr>
  </w:style>
  <w:style w:type="character" w:styleId="TekstprzypisukocowegoZnak" w:customStyle="1">
    <w:name w:val="Tekst przypisu końcowego Znak"/>
    <w:basedOn w:val="DefaultParagraphFont"/>
    <w:uiPriority w:val="99"/>
    <w:semiHidden/>
    <w:qFormat/>
    <w:rsid w:val="00f6440f"/>
    <w:rPr>
      <w:sz w:val="20"/>
      <w:szCs w:val="20"/>
      <w:lang w:val="pl-PL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f6440f"/>
    <w:rPr>
      <w:vertAlign w:val="superscript"/>
    </w:rPr>
  </w:style>
  <w:style w:type="character" w:styleId="NagwekZnak">
    <w:name w:val="Nagłówek Znak"/>
    <w:qFormat/>
    <w:rPr>
      <w:rFonts w:ascii="Arial" w:hAnsi="Arial" w:eastAsia="Lucida Sans Unicode" w:cs="Tahoma"/>
      <w:sz w:val="28"/>
      <w:szCs w:val="28"/>
    </w:rPr>
  </w:style>
  <w:style w:type="character" w:styleId="Nagwek5Znak">
    <w:name w:val="Nagłówek 5 Znak"/>
    <w:qFormat/>
    <w:rPr>
      <w:rFonts w:eastAsia="Lucida Sans Unicode"/>
      <w:b/>
      <w:sz w:val="24"/>
      <w:szCs w:val="24"/>
    </w:rPr>
  </w:style>
  <w:style w:type="character" w:styleId="PodtytuZnak">
    <w:name w:val="Podtytuł Znak"/>
    <w:qFormat/>
    <w:rPr>
      <w:rFonts w:ascii="Arial" w:hAnsi="Arial" w:cs="Arial"/>
      <w:b/>
      <w:sz w:val="24"/>
    </w:rPr>
  </w:style>
  <w:style w:type="character" w:styleId="WWDomylnaczcionkaakapitu">
    <w:name w:val="WW-Domyślna czcionka akapitu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paragraph" w:styleId="Stopka">
    <w:name w:val="Footer"/>
    <w:basedOn w:val="Normal"/>
    <w:link w:val="StopkaZnak"/>
    <w:uiPriority w:val="99"/>
    <w:unhideWhenUsed/>
    <w:rsid w:val="004d3fc7"/>
    <w:pPr>
      <w:tabs>
        <w:tab w:val="clear" w:pos="706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f6440f"/>
    <w:pPr/>
    <w:rPr>
      <w:sz w:val="20"/>
      <w:szCs w:val="20"/>
    </w:rPr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DC5B7-5C17-479D-ACAD-F78F4927C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LibreOffice/7.3.5.2$Windows_X86_64 LibreOffice_project/184fe81b8c8c30d8b5082578aee2fed2ea847c01</Application>
  <AppVersion>15.0000</AppVersion>
  <DocSecurity>0</DocSecurity>
  <Pages>3</Pages>
  <Words>794</Words>
  <Characters>4314</Characters>
  <CharactersWithSpaces>5399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Kosiedowski</dc:creator>
  <dc:description/>
  <dc:language>pl-PL</dc:language>
  <cp:lastModifiedBy/>
  <dcterms:modified xsi:type="dcterms:W3CDTF">2022-12-15T20:59:08Z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