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>
          <w:rFonts w:ascii="Tahoma" w:hAnsi="Tahoma"/>
          <w:b/>
          <w:lang w:val="pl-PL"/>
        </w:rPr>
        <w:t>Z</w:t>
      </w:r>
      <w:r>
        <w:rPr>
          <w:rFonts w:ascii="Tahoma" w:hAnsi="Tahoma"/>
          <w:b/>
          <w:sz w:val="22"/>
          <w:szCs w:val="22"/>
          <w:lang w:val="pl-PL"/>
        </w:rPr>
        <w:t>ARZĄDZENIE P.005</w:t>
      </w:r>
      <w:r>
        <w:rPr>
          <w:rFonts w:ascii="Tahoma" w:hAnsi="Tahoma"/>
          <w:b/>
          <w:sz w:val="22"/>
          <w:szCs w:val="22"/>
          <w:lang w:val="pl-PL"/>
        </w:rPr>
        <w:t>0.337.</w:t>
      </w:r>
      <w:r>
        <w:rPr>
          <w:rFonts w:ascii="Tahoma" w:hAnsi="Tahoma"/>
          <w:b/>
          <w:sz w:val="22"/>
          <w:szCs w:val="22"/>
          <w:lang w:val="pl-PL"/>
        </w:rPr>
        <w:t>2022</w:t>
      </w:r>
    </w:p>
    <w:p>
      <w:pPr>
        <w:pStyle w:val="Standard"/>
        <w:jc w:val="center"/>
        <w:rPr>
          <w:rFonts w:ascii="Tahoma" w:hAnsi="Tahoma"/>
          <w:b/>
          <w:b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 DNIA </w:t>
      </w:r>
      <w:r>
        <w:rPr>
          <w:rFonts w:ascii="Tahoma" w:hAnsi="Tahoma"/>
          <w:b/>
          <w:sz w:val="22"/>
          <w:szCs w:val="22"/>
          <w:lang w:val="pl-PL"/>
        </w:rPr>
        <w:t xml:space="preserve">27 </w:t>
      </w:r>
      <w:r>
        <w:rPr>
          <w:rFonts w:ascii="Tahoma" w:hAnsi="Tahoma"/>
          <w:b/>
          <w:sz w:val="22"/>
          <w:szCs w:val="22"/>
          <w:lang w:val="pl-PL"/>
        </w:rPr>
        <w:t>GRUDNIA 2022R.</w:t>
      </w:r>
    </w:p>
    <w:p>
      <w:pPr>
        <w:pStyle w:val="Standard"/>
        <w:jc w:val="center"/>
        <w:rPr>
          <w:rFonts w:ascii="Tahoma" w:hAnsi="Tahoma"/>
          <w:b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</w:r>
    </w:p>
    <w:p>
      <w:pPr>
        <w:pStyle w:val="Standard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w sprawie: dzierżawy nieruchomości </w:t>
      </w:r>
    </w:p>
    <w:p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Na podstawie art. 11 ust. 1, art. 13 ust. 1, art. 25 ust. 1 ustawy z dnia 21 sierpnia 1997 r.                         o gospodarce nieruchomościami (t.j. Dz. U. z 2021r. poz. 1899 z późn. zm.), art. 30 ust. 1 i ust. 2 pkt 3) ustawy z dnia 8 marca 1990r. o samorządzie gminnym (t.j. Dz.U. z 2022 poz. 559 z późn. zm.),</w:t>
      </w:r>
      <w:r>
        <w:rPr>
          <w:rFonts w:cs="Arial" w:ascii="Tahoma" w:hAnsi="Tahoma"/>
          <w:sz w:val="22"/>
          <w:szCs w:val="22"/>
          <w:lang w:val="pl-PL"/>
        </w:rPr>
        <w:t xml:space="preserve"> Zarządzenia Prezydenta Miasta Lubina P.0050.78.2022 z dnia 30 marca 2022 r. w sprawie aktualizacji zasad naliczania czynszu dzierżawnego, </w:t>
      </w:r>
      <w:r>
        <w:rPr>
          <w:rFonts w:ascii="Tahoma" w:hAnsi="Tahoma"/>
          <w:sz w:val="22"/>
          <w:szCs w:val="22"/>
          <w:lang w:val="pl-PL"/>
        </w:rPr>
        <w:t>oraz Zarządzenia Prezydenta Miasta Lubina                      Nr 41 z dnia 22 sierpnia 2019r. w sprawie powierzenia prowadzenia spraw i wykonywania czynności w tym praw i obowiązków p o s t a n a w i a m, co następuje:</w:t>
      </w:r>
    </w:p>
    <w:p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left" w:pos="945" w:leader="none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>
        <w:rPr>
          <w:rFonts w:ascii="Tahoma" w:hAnsi="Tahoma"/>
          <w:sz w:val="22"/>
          <w:szCs w:val="22"/>
          <w:lang w:val="pl-PL"/>
        </w:rPr>
        <w:t>§</w:t>
      </w:r>
      <w:bookmarkEnd w:id="0"/>
      <w:r>
        <w:rPr>
          <w:rFonts w:ascii="Tahoma" w:hAnsi="Tahoma"/>
          <w:sz w:val="22"/>
          <w:szCs w:val="22"/>
          <w:lang w:val="pl-PL"/>
        </w:rPr>
        <w:t xml:space="preserve"> 1</w:t>
      </w:r>
    </w:p>
    <w:p>
      <w:pPr>
        <w:pStyle w:val="Standard"/>
        <w:tabs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dwóch lat n/w nieruchomości położone               w Lubinie z przeznaczeniem na prowadzenie działalności gospodarczej, bez możliwości trwałej zabudowy:</w:t>
      </w:r>
    </w:p>
    <w:p>
      <w:pPr>
        <w:pStyle w:val="Standard"/>
        <w:tabs>
          <w:tab w:val="left" w:pos="375" w:leader="none"/>
        </w:tabs>
        <w:jc w:val="both"/>
        <w:rPr>
          <w:rFonts w:ascii="Tahoma" w:hAnsi="Tahoma" w:cs="Arial"/>
          <w:sz w:val="22"/>
          <w:szCs w:val="22"/>
          <w:u w:val="none"/>
          <w:lang w:val="pl-PL"/>
        </w:rPr>
      </w:pPr>
      <w:r>
        <w:rPr>
          <w:rFonts w:cs="Arial" w:ascii="Tahoma" w:hAnsi="Tahoma"/>
          <w:sz w:val="22"/>
          <w:szCs w:val="22"/>
          <w:u w:val="none"/>
          <w:lang w:val="pl-PL"/>
        </w:rPr>
      </w:r>
    </w:p>
    <w:p>
      <w:pPr>
        <w:pStyle w:val="Standard"/>
        <w:jc w:val="both"/>
        <w:rPr>
          <w:rFonts w:ascii="Arial" w:hAnsi="Arial" w:cs="Arial"/>
          <w:b/>
          <w:b/>
          <w:lang w:val="pl-PL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677, obręb 9 miasta Lubina, przy ul. Iwaszkiewicza, o łącznej powierzchni 30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205,20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124/4, obręb 3 miasta Lubina, przy ul. Niepodległości, o łącznej powierzchni                  900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ze stawką czynszu ustaloną w wysokości 116,64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22/26, obręb 9 miasta Lubina, przy ul. Hutniczej, o łącznej powierzchni 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136,80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364/15, obręb 9 miasta Lubina, przy ul. Budowniczych LGOM, o łącznej powierzchni 18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123,12 zł netto miesięcznie.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95, obręb 8 miasta Lubina, przy ul. Pawiej, o łącznej powierzchni 31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>,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212,04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102/15, obręb 8 miasta Lubina, przy ul. Sportowej, o łącznej powierzchni 61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417,24 zł netto miesięcznie.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Arial" w:hAnsi="Arial" w:cs="Arial"/>
          <w:b/>
          <w:b/>
          <w:lang w:val="pl-PL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222/2, obręb 4 miasta Lubina, przy ul. Mickiewicza, o łącznej powierzchni 14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95,76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Arial" w:hAnsi="Arial" w:cs="Arial"/>
          <w:b/>
          <w:b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  <w:t xml:space="preserve">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miesięcznego okresu wypowiedzenia warunków umowy, bądź w każdym momencie na mocy porozumienia.</w:t>
      </w:r>
    </w:p>
    <w:p>
      <w:pPr>
        <w:pStyle w:val="Standard"/>
        <w:tabs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left" w:pos="945" w:leader="none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>§ 2</w:t>
      </w:r>
    </w:p>
    <w:p>
      <w:pPr>
        <w:pStyle w:val="Standard"/>
        <w:tabs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trzech lat n/w nieruchomość położoną w Lubinie z przeznaczeniem na prowadzenie działalności gospodarczej, bez możliwości trwałej zabudowy:</w:t>
      </w:r>
    </w:p>
    <w:p>
      <w:pPr>
        <w:pStyle w:val="Standard"/>
        <w:tabs>
          <w:tab w:val="left" w:pos="375" w:leader="none"/>
        </w:tabs>
        <w:jc w:val="both"/>
        <w:rPr>
          <w:rFonts w:ascii="Tahoma" w:hAnsi="Tahoma" w:cs="Arial"/>
          <w:sz w:val="22"/>
          <w:szCs w:val="22"/>
          <w:u w:val="single"/>
          <w:lang w:val="pl-PL"/>
        </w:rPr>
      </w:pPr>
      <w:r>
        <w:rPr>
          <w:rFonts w:cs="Arial" w:ascii="Tahoma" w:hAnsi="Tahoma"/>
          <w:sz w:val="22"/>
          <w:szCs w:val="22"/>
          <w:u w:val="single"/>
          <w:lang w:val="pl-PL"/>
        </w:rPr>
      </w:r>
    </w:p>
    <w:p>
      <w:pPr>
        <w:pStyle w:val="Standard"/>
        <w:jc w:val="both"/>
        <w:rPr>
          <w:rFonts w:ascii="Arial" w:hAnsi="Arial" w:cs="Arial"/>
          <w:b/>
          <w:b/>
          <w:lang w:val="pl-PL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działek nr 868/15 i 872/5, obręb 3 miasta Lubina, przy ul. Stary Lubin, o łącznej powierzchni 120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435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trzymiesięcznego okresu wypowiedzenia warunków umowy, bądź w każdym momencie na mocy porozumienia.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left" w:pos="945" w:leader="none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>§ 3</w:t>
      </w:r>
    </w:p>
    <w:p>
      <w:pPr>
        <w:pStyle w:val="Standard"/>
        <w:tabs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trzech miesięcy z możliwością przedłużenia na okres trzech lat n/w nieruchomość położoną w Lubinie z przeznaczeniem jako drogę dojazdową, bez możliwości trwałej zabudowy:</w:t>
      </w:r>
    </w:p>
    <w:p>
      <w:pPr>
        <w:pStyle w:val="Standard"/>
        <w:tabs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działkę nr 279/3, obręb 2 miasta Lubina, przy ul. Małomickiej, o łącznej powierzchni</w:t>
        <w:br/>
        <w:t>145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1,50 zł za 1m</w:t>
      </w:r>
      <w:r>
        <w:rPr>
          <w:rFonts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cs="Arial" w:ascii="Tahoma" w:hAnsi="Tahoma"/>
          <w:sz w:val="22"/>
          <w:szCs w:val="22"/>
          <w:lang w:val="pl-PL"/>
        </w:rPr>
        <w:t xml:space="preserve"> netto rocznie.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siedmiodniowego okresu wypowiedzenia warunków umowy, bądź w każdym momencie na mocy porozumienia.</w:t>
      </w:r>
    </w:p>
    <w:p>
      <w:pPr>
        <w:pStyle w:val="Standard"/>
        <w:tabs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left" w:pos="945" w:leader="none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sz w:val="22"/>
          <w:szCs w:val="22"/>
          <w:lang w:val="pl-PL"/>
        </w:rPr>
        <w:t>§ 4</w:t>
      </w:r>
    </w:p>
    <w:p>
      <w:pPr>
        <w:pStyle w:val="Standard"/>
        <w:tabs>
          <w:tab w:val="left" w:pos="94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Szczegółowe warunki dotyczące dzierżaw</w:t>
      </w:r>
      <w:bookmarkStart w:id="1" w:name="_GoBack"/>
      <w:bookmarkEnd w:id="1"/>
      <w:r>
        <w:rPr>
          <w:rFonts w:ascii="Tahoma" w:hAnsi="Tahoma"/>
          <w:sz w:val="22"/>
          <w:szCs w:val="22"/>
          <w:lang w:val="pl-PL"/>
        </w:rPr>
        <w:t>, o których mowa w § 1-3, zostaną określone odrębnie.</w:t>
      </w:r>
    </w:p>
    <w:p>
      <w:pPr>
        <w:pStyle w:val="Standard"/>
        <w:tabs>
          <w:tab w:val="left" w:pos="945" w:leader="none"/>
        </w:tabs>
        <w:jc w:val="both"/>
        <w:rPr>
          <w:lang w:val="pl-PL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left" w:pos="94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5</w:t>
      </w:r>
    </w:p>
    <w:p>
      <w:pPr>
        <w:pStyle w:val="Standard"/>
        <w:tabs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>
        <w:rPr>
          <w:rFonts w:ascii="Tahoma" w:hAnsi="Tahoma"/>
          <w:sz w:val="22"/>
          <w:szCs w:val="22"/>
          <w:lang w:val="pl-PL"/>
        </w:rPr>
        <w:t xml:space="preserve">27 grudnia </w:t>
      </w:r>
      <w:r>
        <w:rPr>
          <w:rFonts w:ascii="Tahoma" w:hAnsi="Tahoma"/>
          <w:sz w:val="22"/>
          <w:szCs w:val="22"/>
          <w:lang w:val="pl-PL"/>
        </w:rPr>
        <w:t>2022r.</w:t>
      </w:r>
    </w:p>
    <w:p>
      <w:pPr>
        <w:pStyle w:val="Standard"/>
        <w:tabs>
          <w:tab w:val="left" w:pos="945" w:leader="none"/>
        </w:tabs>
        <w:ind w:left="225" w:hanging="225"/>
        <w:rPr>
          <w:lang w:val="pl-PL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left" w:pos="945" w:leader="none"/>
        </w:tabs>
        <w:ind w:left="225" w:hanging="225"/>
        <w:rPr>
          <w:lang w:val="pl-PL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left" w:pos="945" w:leader="none"/>
        </w:tabs>
        <w:ind w:left="225" w:hanging="225"/>
        <w:rPr>
          <w:lang w:val="pl-PL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Fonts w:eastAsia="Arial" w:cs="Tahoma" w:ascii="Tahoma" w:hAnsi="Tahoma"/>
          <w:i w:val="false"/>
          <w:iCs w:val="false"/>
          <w:color w:val="000000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</w:t>
      </w:r>
      <w:bookmarkStart w:id="2" w:name="page1R_mcid40"/>
      <w:bookmarkEnd w:id="2"/>
      <w:r>
        <w:rPr>
          <w:rFonts w:eastAsia="Arial" w:cs="Tahoma" w:ascii="Tahoma" w:hAnsi="Tahoma"/>
          <w:i w:val="false"/>
          <w:iCs w:val="false"/>
          <w:color w:val="000000"/>
          <w:sz w:val="22"/>
          <w:szCs w:val="22"/>
          <w:lang w:bidi="zxx"/>
        </w:rPr>
        <w:t xml:space="preserve"> LUBINA</w:t>
        <w:tab/>
        <w:tab/>
        <w:tab/>
        <w:tab/>
        <w:tab/>
        <w:tab/>
        <w:tab/>
        <w:tab/>
        <w:tab/>
        <w:t>/-/ Tomasz Ochocki</w:t>
      </w:r>
    </w:p>
    <w:p>
      <w:pPr>
        <w:pStyle w:val="Normal"/>
        <w:tabs>
          <w:tab w:val="left" w:pos="945" w:leader="none"/>
        </w:tabs>
        <w:spacing w:lineRule="auto" w:line="360"/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eastAsia="Arial" w:cs="Tahoma" w:ascii="Tahoma" w:hAnsi="Tahoma"/>
          <w:i w:val="false"/>
          <w:iCs w:val="false"/>
          <w:color w:val="000000"/>
          <w:sz w:val="22"/>
          <w:szCs w:val="22"/>
          <w:lang w:val="pl-PL" w:bidi="zxx"/>
        </w:rPr>
        <w:tab/>
        <w:tab/>
        <w:tab/>
        <w:tab/>
        <w:tab/>
        <w:tab/>
        <w:tab/>
        <w:tab/>
        <w:tab/>
        <w:t>Sekretarz Miasta</w:t>
      </w:r>
    </w:p>
    <w:p>
      <w:pPr>
        <w:pStyle w:val="Standard"/>
        <w:tabs>
          <w:tab w:val="left" w:pos="945" w:leader="none"/>
        </w:tabs>
        <w:ind w:left="225" w:hanging="225"/>
        <w:rPr>
          <w:lang w:val="pl-PL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200"/>
  <w:defaultTabStop w:val="706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de-DE" w:eastAsia="ja-JP" w:bidi="fa-IR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00000A"/>
      <w:sz w:val="24"/>
      <w:szCs w:val="24"/>
      <w:lang w:val="pl-PL" w:eastAsia="ja-JP" w:bidi="fa-IR"/>
    </w:rPr>
  </w:style>
  <w:style w:type="paragraph" w:styleId="Nagwek1">
    <w:name w:val="Heading 1"/>
    <w:basedOn w:val="Normal"/>
    <w:qFormat/>
    <w:pPr>
      <w:keepNext/>
      <w:widowControl w:val="false"/>
      <w:bidi w:val="0"/>
      <w:jc w:val="center"/>
      <w:outlineLvl w:val="0"/>
    </w:pPr>
    <w:rPr>
      <w:b/>
    </w:rPr>
  </w:style>
  <w:style w:type="paragraph" w:styleId="Nagwek2">
    <w:name w:val="Heading 2"/>
    <w:basedOn w:val="Normal"/>
    <w:qFormat/>
    <w:pPr>
      <w:keepNext/>
      <w:widowControl w:val="false"/>
      <w:bidi w:val="0"/>
      <w:jc w:val="center"/>
      <w:outlineLvl w:val="1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StarSymbol, 'Arial Unicode MS'" w:hAnsi="StarSymbol, 'Arial Unicode MS'" w:eastAsia="StarSymbol, 'Arial Unicode MS'" w:cs="StarSymbol, 'Arial Unicode MS'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qFormat/>
    <w:rPr>
      <w:b/>
      <w:sz w:val="32"/>
    </w:rPr>
  </w:style>
  <w:style w:type="character" w:styleId="TytuZnak" w:customStyle="1">
    <w:name w:val="Tytuł Znak"/>
    <w:basedOn w:val="DefaultParagraphFont"/>
    <w:qFormat/>
    <w:rPr>
      <w:rFonts w:ascii="Arial" w:hAnsi="Arial" w:eastAsia="Times New Roman" w:cs="Arial"/>
      <w:b/>
      <w:bCs/>
      <w:lang w:val="pl-PL" w:eastAsia="pl-PL" w:bidi="ar-SA"/>
    </w:rPr>
  </w:style>
  <w:style w:type="character" w:styleId="ListLabel1" w:customStyle="1">
    <w:name w:val="ListLabel 1"/>
    <w:qFormat/>
    <w:rPr>
      <w:rFonts w:eastAsia="Times New Roman" w:cs="Times New Roman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4d3fc7"/>
    <w:rPr>
      <w:lang w:val="pl-PL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f6440f"/>
    <w:rPr>
      <w:sz w:val="20"/>
      <w:szCs w:val="20"/>
      <w:lang w:val="pl-PL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f6440f"/>
    <w:rPr>
      <w:vertAlign w:val="superscript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de-DE" w:eastAsia="ja-JP" w:bidi="fa-IR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de-DE" w:eastAsia="ja-JP" w:bidi="fa-IR"/>
    </w:rPr>
  </w:style>
  <w:style w:type="paragraph" w:styleId="Gwka">
    <w:name w:val="Header"/>
    <w:basedOn w:val="Normal"/>
    <w:pPr>
      <w:keepNext/>
      <w:widowControl w:val="false"/>
      <w:bidi w:val="0"/>
      <w:spacing w:before="240" w:after="120"/>
      <w:jc w:val="left"/>
    </w:pPr>
    <w:rPr>
      <w:rFonts w:ascii="Arial" w:hAnsi="Arial" w:eastAsia="Andale Sans UI" w:cs="Tahoma"/>
      <w:color w:val="00000A"/>
      <w:sz w:val="28"/>
      <w:szCs w:val="28"/>
      <w:lang w:val="de-DE" w:eastAsia="ja-JP" w:bidi="fa-IR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Times New Roman" w:hAnsi="Times New Roman" w:eastAsia="Andale Sans UI" w:cs="Tahoma"/>
      <w:i/>
      <w:iCs/>
      <w:color w:val="00000A"/>
      <w:sz w:val="24"/>
      <w:szCs w:val="24"/>
      <w:lang w:val="de-DE" w:eastAsia="ja-JP" w:bidi="fa-IR"/>
    </w:rPr>
  </w:style>
  <w:style w:type="paragraph" w:styleId="Standard" w:customStyle="1">
    <w:name w:val="Standard"/>
    <w:qFormat/>
    <w:pPr>
      <w:widowControl/>
      <w:suppressAutoHyphens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Tytu">
    <w:name w:val="Title"/>
    <w:basedOn w:val="Normal"/>
    <w:qFormat/>
    <w:pPr>
      <w:suppressAutoHyphens w:val="false"/>
      <w:jc w:val="center"/>
      <w:textAlignment w:val="auto"/>
    </w:pPr>
    <w:rPr>
      <w:rFonts w:ascii="Arial" w:hAnsi="Arial" w:eastAsia="Times New Roman" w:cs="Arial"/>
      <w:b/>
      <w:bCs/>
      <w:lang w:eastAsia="pl-PL" w:bidi="ar-SA"/>
    </w:rPr>
  </w:style>
  <w:style w:type="paragraph" w:styleId="Stopka">
    <w:name w:val="Footer"/>
    <w:basedOn w:val="Normal"/>
    <w:link w:val="StopkaZnak"/>
    <w:uiPriority w:val="99"/>
    <w:unhideWhenUsed/>
    <w:rsid w:val="004d3fc7"/>
    <w:pPr>
      <w:tabs>
        <w:tab w:val="center" w:pos="4536" w:leader="none"/>
        <w:tab w:val="right" w:pos="9072" w:leader="none"/>
      </w:tabs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f6440f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EC967-8ECC-411E-A7BB-AD23E04D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LibreOffice/5.3.0.3$Windows_x86 LibreOffice_project/7074905676c47b82bbcfbea1aeefc84afe1c50e1</Application>
  <Pages>2</Pages>
  <Words>491</Words>
  <Characters>2950</Characters>
  <CharactersWithSpaces>3435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2022-12-19T09:52:00Z</dcterms:created>
  <dc:creator>Marcin Kosiedowski</dc:creator>
  <dc:description/>
  <dc:language>pl-PL</dc:language>
  <cp:lastModifiedBy/>
  <cp:lastPrinted>2022-12-23T11:27:00Z</cp:lastPrinted>
  <dcterms:modified xsi:type="dcterms:W3CDTF">2023-01-02T09:54:27Z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