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7D88" w:rsidRDefault="00907D88">
      <w:pPr>
        <w:pStyle w:val="Default"/>
      </w:pPr>
    </w:p>
    <w:p w:rsidR="00907D88" w:rsidRDefault="00907D88">
      <w:pPr>
        <w:pStyle w:val="Default"/>
        <w:jc w:val="center"/>
        <w:rPr>
          <w:b/>
          <w:bCs/>
          <w:sz w:val="23"/>
          <w:szCs w:val="23"/>
        </w:rPr>
      </w:pPr>
    </w:p>
    <w:p w:rsidR="00907D88" w:rsidRDefault="00561133">
      <w:pPr>
        <w:pStyle w:val="Default"/>
        <w:jc w:val="center"/>
        <w:rPr>
          <w:sz w:val="23"/>
          <w:szCs w:val="23"/>
        </w:rPr>
      </w:pPr>
      <w:r>
        <w:rPr>
          <w:b/>
          <w:bCs/>
          <w:sz w:val="23"/>
          <w:szCs w:val="23"/>
        </w:rPr>
        <w:t>ZARZĄDZENIE P.</w:t>
      </w:r>
      <w:r w:rsidR="002456CC">
        <w:rPr>
          <w:b/>
          <w:bCs/>
          <w:sz w:val="23"/>
          <w:szCs w:val="23"/>
        </w:rPr>
        <w:t>0050.47</w:t>
      </w:r>
      <w:r w:rsidR="00E405CA">
        <w:rPr>
          <w:b/>
          <w:bCs/>
          <w:sz w:val="23"/>
          <w:szCs w:val="23"/>
        </w:rPr>
        <w:t>.2023</w:t>
      </w:r>
    </w:p>
    <w:p w:rsidR="00907D88" w:rsidRDefault="00405450">
      <w:pPr>
        <w:pStyle w:val="Default"/>
        <w:jc w:val="center"/>
        <w:rPr>
          <w:sz w:val="23"/>
          <w:szCs w:val="23"/>
        </w:rPr>
      </w:pPr>
      <w:r>
        <w:rPr>
          <w:b/>
          <w:bCs/>
          <w:sz w:val="23"/>
          <w:szCs w:val="23"/>
        </w:rPr>
        <w:t>PREZYDENTA MIASTA LUBINA</w:t>
      </w:r>
    </w:p>
    <w:p w:rsidR="00907D88" w:rsidRDefault="00405450">
      <w:pPr>
        <w:pStyle w:val="Default"/>
        <w:jc w:val="center"/>
        <w:rPr>
          <w:sz w:val="23"/>
          <w:szCs w:val="23"/>
        </w:rPr>
      </w:pPr>
      <w:r>
        <w:rPr>
          <w:b/>
          <w:bCs/>
          <w:sz w:val="23"/>
          <w:szCs w:val="23"/>
        </w:rPr>
        <w:t xml:space="preserve">Z DNIA 21 </w:t>
      </w:r>
      <w:r w:rsidR="00E405CA">
        <w:rPr>
          <w:b/>
          <w:bCs/>
          <w:sz w:val="23"/>
          <w:szCs w:val="23"/>
        </w:rPr>
        <w:t xml:space="preserve">LUTEGO </w:t>
      </w:r>
      <w:r>
        <w:rPr>
          <w:b/>
          <w:bCs/>
          <w:sz w:val="23"/>
          <w:szCs w:val="23"/>
        </w:rPr>
        <w:t>202</w:t>
      </w:r>
      <w:r w:rsidR="00E405CA">
        <w:rPr>
          <w:b/>
          <w:bCs/>
          <w:sz w:val="23"/>
          <w:szCs w:val="23"/>
        </w:rPr>
        <w:t xml:space="preserve">3 </w:t>
      </w:r>
      <w:r>
        <w:rPr>
          <w:b/>
          <w:bCs/>
          <w:sz w:val="23"/>
          <w:szCs w:val="23"/>
        </w:rPr>
        <w:t>r.</w:t>
      </w:r>
    </w:p>
    <w:p w:rsidR="00907D88" w:rsidRDefault="00907D88">
      <w:pPr>
        <w:pStyle w:val="Default"/>
        <w:rPr>
          <w:b/>
          <w:bCs/>
          <w:sz w:val="23"/>
          <w:szCs w:val="23"/>
        </w:rPr>
      </w:pPr>
    </w:p>
    <w:p w:rsidR="00907D88" w:rsidRDefault="00907D88">
      <w:pPr>
        <w:pStyle w:val="Default"/>
        <w:rPr>
          <w:b/>
          <w:bCs/>
          <w:sz w:val="23"/>
          <w:szCs w:val="23"/>
        </w:rPr>
      </w:pPr>
    </w:p>
    <w:p w:rsidR="00907D88" w:rsidRDefault="00907D88">
      <w:pPr>
        <w:pStyle w:val="Default"/>
        <w:jc w:val="both"/>
        <w:rPr>
          <w:b/>
          <w:bCs/>
          <w:sz w:val="23"/>
          <w:szCs w:val="23"/>
        </w:rPr>
      </w:pPr>
    </w:p>
    <w:p w:rsidR="00907D88" w:rsidRPr="00405450" w:rsidRDefault="00405450">
      <w:pPr>
        <w:pStyle w:val="Default"/>
        <w:jc w:val="both"/>
        <w:rPr>
          <w:sz w:val="22"/>
          <w:szCs w:val="22"/>
        </w:rPr>
      </w:pPr>
      <w:r w:rsidRPr="00405450">
        <w:rPr>
          <w:b/>
          <w:bCs/>
          <w:sz w:val="22"/>
          <w:szCs w:val="22"/>
        </w:rPr>
        <w:t>w sprawie</w:t>
      </w:r>
      <w:r w:rsidR="00644B13">
        <w:rPr>
          <w:b/>
          <w:bCs/>
          <w:sz w:val="22"/>
          <w:szCs w:val="22"/>
        </w:rPr>
        <w:t>:</w:t>
      </w:r>
      <w:r w:rsidRPr="00405450">
        <w:rPr>
          <w:b/>
          <w:bCs/>
          <w:sz w:val="22"/>
          <w:szCs w:val="22"/>
        </w:rPr>
        <w:t xml:space="preserve"> odwołania Dyrektora Narodowej Orkiestry Dętej z siedzibą w Lubinie </w:t>
      </w:r>
    </w:p>
    <w:p w:rsidR="00907D88" w:rsidRPr="00405450" w:rsidRDefault="00907D88">
      <w:pPr>
        <w:pStyle w:val="Default"/>
        <w:rPr>
          <w:sz w:val="22"/>
          <w:szCs w:val="22"/>
        </w:rPr>
      </w:pPr>
    </w:p>
    <w:p w:rsidR="00907D88" w:rsidRPr="00405450" w:rsidRDefault="00907D88">
      <w:pPr>
        <w:pStyle w:val="Default"/>
        <w:rPr>
          <w:sz w:val="22"/>
          <w:szCs w:val="22"/>
        </w:rPr>
      </w:pPr>
    </w:p>
    <w:p w:rsidR="00907D88" w:rsidRPr="00405450" w:rsidRDefault="00907D88">
      <w:pPr>
        <w:pStyle w:val="Default"/>
        <w:jc w:val="both"/>
        <w:rPr>
          <w:color w:val="00000A"/>
          <w:sz w:val="22"/>
          <w:szCs w:val="22"/>
        </w:rPr>
      </w:pPr>
    </w:p>
    <w:p w:rsidR="00907D88" w:rsidRPr="00405450" w:rsidRDefault="00405450">
      <w:pPr>
        <w:pStyle w:val="Default"/>
        <w:jc w:val="both"/>
        <w:rPr>
          <w:color w:val="00000A"/>
          <w:sz w:val="22"/>
          <w:szCs w:val="22"/>
        </w:rPr>
      </w:pPr>
      <w:r w:rsidRPr="00405450">
        <w:rPr>
          <w:color w:val="00000A"/>
          <w:sz w:val="22"/>
          <w:szCs w:val="22"/>
        </w:rPr>
        <w:t xml:space="preserve">Na podstawie art. 30 ust. 2 pkt. 5 ustawy z dnia 8 marca 1990r. o samorządzie gminnym </w:t>
      </w:r>
      <w:r>
        <w:rPr>
          <w:color w:val="00000A"/>
          <w:sz w:val="22"/>
          <w:szCs w:val="22"/>
        </w:rPr>
        <w:br/>
      </w:r>
      <w:r w:rsidRPr="00405450">
        <w:rPr>
          <w:color w:val="00000A"/>
          <w:sz w:val="22"/>
          <w:szCs w:val="22"/>
        </w:rPr>
        <w:t>(</w:t>
      </w:r>
      <w:proofErr w:type="spellStart"/>
      <w:r w:rsidR="00E405CA" w:rsidRPr="00405450">
        <w:rPr>
          <w:sz w:val="22"/>
          <w:szCs w:val="22"/>
        </w:rPr>
        <w:t>t.j</w:t>
      </w:r>
      <w:proofErr w:type="spellEnd"/>
      <w:r w:rsidR="00E405CA" w:rsidRPr="00405450">
        <w:rPr>
          <w:sz w:val="22"/>
          <w:szCs w:val="22"/>
        </w:rPr>
        <w:t>. Dz. U. z 2023 r. poz. 40</w:t>
      </w:r>
      <w:r w:rsidRPr="00405450">
        <w:rPr>
          <w:color w:val="00000A"/>
          <w:sz w:val="22"/>
          <w:szCs w:val="22"/>
        </w:rPr>
        <w:t xml:space="preserve">), art. 15 </w:t>
      </w:r>
      <w:r w:rsidR="002456CC">
        <w:rPr>
          <w:color w:val="00000A"/>
          <w:sz w:val="22"/>
          <w:szCs w:val="22"/>
        </w:rPr>
        <w:t>ust. 6 pkt 3</w:t>
      </w:r>
      <w:r w:rsidR="000B44FA">
        <w:rPr>
          <w:color w:val="00000A"/>
          <w:sz w:val="22"/>
          <w:szCs w:val="22"/>
        </w:rPr>
        <w:t>, ust. 7</w:t>
      </w:r>
      <w:r w:rsidR="002456CC">
        <w:rPr>
          <w:color w:val="00000A"/>
          <w:sz w:val="22"/>
          <w:szCs w:val="22"/>
        </w:rPr>
        <w:t xml:space="preserve"> i </w:t>
      </w:r>
      <w:r w:rsidRPr="00405450">
        <w:rPr>
          <w:color w:val="00000A"/>
          <w:sz w:val="22"/>
          <w:szCs w:val="22"/>
        </w:rPr>
        <w:t>ust</w:t>
      </w:r>
      <w:r>
        <w:rPr>
          <w:color w:val="00000A"/>
          <w:sz w:val="22"/>
          <w:szCs w:val="22"/>
        </w:rPr>
        <w:t xml:space="preserve">. 1 </w:t>
      </w:r>
      <w:r w:rsidR="00644B13">
        <w:rPr>
          <w:color w:val="00000A"/>
          <w:sz w:val="22"/>
          <w:szCs w:val="22"/>
        </w:rPr>
        <w:t xml:space="preserve">zdanie drugie </w:t>
      </w:r>
      <w:r>
        <w:rPr>
          <w:color w:val="00000A"/>
          <w:sz w:val="22"/>
          <w:szCs w:val="22"/>
        </w:rPr>
        <w:t xml:space="preserve">ustawy z dnia </w:t>
      </w:r>
      <w:r w:rsidR="00644B13">
        <w:rPr>
          <w:color w:val="00000A"/>
          <w:sz w:val="22"/>
          <w:szCs w:val="22"/>
        </w:rPr>
        <w:t xml:space="preserve">                             </w:t>
      </w:r>
      <w:r w:rsidRPr="00405450">
        <w:rPr>
          <w:color w:val="00000A"/>
          <w:sz w:val="22"/>
          <w:szCs w:val="22"/>
        </w:rPr>
        <w:t>25 października 1991r. o organizowaniu i prowadzeniu działalności kulturalnej (</w:t>
      </w:r>
      <w:proofErr w:type="spellStart"/>
      <w:r w:rsidRPr="00405450">
        <w:rPr>
          <w:color w:val="00000A"/>
          <w:sz w:val="22"/>
          <w:szCs w:val="22"/>
        </w:rPr>
        <w:t>t.j</w:t>
      </w:r>
      <w:proofErr w:type="spellEnd"/>
      <w:r w:rsidRPr="00405450">
        <w:rPr>
          <w:color w:val="00000A"/>
          <w:sz w:val="22"/>
          <w:szCs w:val="22"/>
        </w:rPr>
        <w:t xml:space="preserve">.: Dz. U. </w:t>
      </w:r>
      <w:r w:rsidR="00644B13">
        <w:rPr>
          <w:color w:val="00000A"/>
          <w:sz w:val="22"/>
          <w:szCs w:val="22"/>
        </w:rPr>
        <w:t xml:space="preserve">                   </w:t>
      </w:r>
      <w:r w:rsidRPr="00405450">
        <w:rPr>
          <w:color w:val="00000A"/>
          <w:sz w:val="22"/>
          <w:szCs w:val="22"/>
        </w:rPr>
        <w:t>z 2020 r. poz. 194</w:t>
      </w:r>
      <w:r w:rsidR="00E405CA" w:rsidRPr="00405450">
        <w:rPr>
          <w:color w:val="00000A"/>
          <w:sz w:val="22"/>
          <w:szCs w:val="22"/>
        </w:rPr>
        <w:t xml:space="preserve"> z </w:t>
      </w:r>
      <w:proofErr w:type="spellStart"/>
      <w:r w:rsidR="00E405CA" w:rsidRPr="00405450">
        <w:rPr>
          <w:color w:val="00000A"/>
          <w:sz w:val="22"/>
          <w:szCs w:val="22"/>
        </w:rPr>
        <w:t>późn</w:t>
      </w:r>
      <w:proofErr w:type="spellEnd"/>
      <w:r w:rsidR="00E405CA" w:rsidRPr="00405450">
        <w:rPr>
          <w:color w:val="00000A"/>
          <w:sz w:val="22"/>
          <w:szCs w:val="22"/>
        </w:rPr>
        <w:t>. zm.</w:t>
      </w:r>
      <w:r w:rsidRPr="00405450">
        <w:rPr>
          <w:color w:val="00000A"/>
          <w:sz w:val="22"/>
          <w:szCs w:val="22"/>
        </w:rPr>
        <w:t>) oraz § 5 ust. 2 Statutu Narodowej Orkiestry Dętej z siedzibą w Lubinie oraz Zarządzenia Nr 41 Prezydenta Miasta Lubina z dnia 22 sierpnia 2019r.</w:t>
      </w:r>
      <w:r>
        <w:rPr>
          <w:color w:val="00000A"/>
          <w:sz w:val="22"/>
          <w:szCs w:val="22"/>
        </w:rPr>
        <w:t xml:space="preserve"> </w:t>
      </w:r>
      <w:r w:rsidRPr="00405450">
        <w:rPr>
          <w:color w:val="00000A"/>
          <w:sz w:val="22"/>
          <w:szCs w:val="22"/>
        </w:rPr>
        <w:t>w sprawie powierzenia prowadzenia spraw i wykonywania czynności w tym praw</w:t>
      </w:r>
      <w:r>
        <w:rPr>
          <w:color w:val="00000A"/>
          <w:sz w:val="22"/>
          <w:szCs w:val="22"/>
        </w:rPr>
        <w:t xml:space="preserve"> </w:t>
      </w:r>
      <w:r w:rsidRPr="00405450">
        <w:rPr>
          <w:color w:val="00000A"/>
          <w:sz w:val="22"/>
          <w:szCs w:val="22"/>
        </w:rPr>
        <w:t xml:space="preserve">i obowiązków postanawiam, co następuje: </w:t>
      </w:r>
    </w:p>
    <w:p w:rsidR="00907D88" w:rsidRPr="00405450" w:rsidRDefault="00907D88">
      <w:pPr>
        <w:pStyle w:val="Default"/>
        <w:rPr>
          <w:color w:val="00000A"/>
          <w:sz w:val="22"/>
          <w:szCs w:val="22"/>
        </w:rPr>
      </w:pPr>
    </w:p>
    <w:p w:rsidR="00907D88" w:rsidRPr="00405450" w:rsidRDefault="00907D88">
      <w:pPr>
        <w:pStyle w:val="Default"/>
        <w:rPr>
          <w:color w:val="00000A"/>
          <w:sz w:val="22"/>
          <w:szCs w:val="22"/>
        </w:rPr>
      </w:pPr>
    </w:p>
    <w:p w:rsidR="00907D88" w:rsidRPr="00405450" w:rsidRDefault="00405450">
      <w:pPr>
        <w:pStyle w:val="Default"/>
        <w:jc w:val="center"/>
        <w:rPr>
          <w:b/>
          <w:color w:val="00000A"/>
          <w:sz w:val="22"/>
          <w:szCs w:val="22"/>
        </w:rPr>
      </w:pPr>
      <w:r w:rsidRPr="00405450">
        <w:rPr>
          <w:b/>
          <w:color w:val="00000A"/>
          <w:sz w:val="22"/>
          <w:szCs w:val="22"/>
        </w:rPr>
        <w:t>§ 1</w:t>
      </w:r>
    </w:p>
    <w:p w:rsidR="00E405CA" w:rsidRPr="00405450" w:rsidRDefault="00E405CA">
      <w:pPr>
        <w:pStyle w:val="Default"/>
        <w:jc w:val="center"/>
        <w:rPr>
          <w:b/>
          <w:color w:val="00000A"/>
          <w:sz w:val="22"/>
          <w:szCs w:val="22"/>
        </w:rPr>
      </w:pPr>
    </w:p>
    <w:p w:rsidR="00907D88" w:rsidRPr="00405450" w:rsidRDefault="00405450">
      <w:pPr>
        <w:pStyle w:val="Default"/>
        <w:numPr>
          <w:ilvl w:val="0"/>
          <w:numId w:val="1"/>
        </w:numPr>
        <w:spacing w:after="171"/>
        <w:ind w:left="426"/>
        <w:jc w:val="both"/>
        <w:rPr>
          <w:sz w:val="22"/>
          <w:szCs w:val="22"/>
        </w:rPr>
      </w:pPr>
      <w:r w:rsidRPr="00405450">
        <w:rPr>
          <w:sz w:val="22"/>
          <w:szCs w:val="22"/>
        </w:rPr>
        <w:t xml:space="preserve">Z dniem 21 </w:t>
      </w:r>
      <w:r>
        <w:rPr>
          <w:sz w:val="22"/>
          <w:szCs w:val="22"/>
        </w:rPr>
        <w:t>lutego</w:t>
      </w:r>
      <w:r w:rsidRPr="00405450">
        <w:rPr>
          <w:sz w:val="22"/>
          <w:szCs w:val="22"/>
        </w:rPr>
        <w:t xml:space="preserve"> 202</w:t>
      </w:r>
      <w:r>
        <w:rPr>
          <w:sz w:val="22"/>
          <w:szCs w:val="22"/>
        </w:rPr>
        <w:t>3</w:t>
      </w:r>
      <w:r w:rsidRPr="00405450">
        <w:rPr>
          <w:sz w:val="22"/>
          <w:szCs w:val="22"/>
        </w:rPr>
        <w:t xml:space="preserve"> roku odwołuję </w:t>
      </w:r>
      <w:r w:rsidRPr="007A0FCD">
        <w:rPr>
          <w:b/>
          <w:sz w:val="22"/>
          <w:szCs w:val="22"/>
        </w:rPr>
        <w:t>Pana Mariusza Dziubka</w:t>
      </w:r>
      <w:r w:rsidRPr="00405450">
        <w:rPr>
          <w:sz w:val="22"/>
          <w:szCs w:val="22"/>
        </w:rPr>
        <w:t xml:space="preserve"> ze stanowiska Dyrektora Narodowej Orkiestry Dętej z siedzibą w Lubinie.   </w:t>
      </w:r>
    </w:p>
    <w:p w:rsidR="00907D88" w:rsidRPr="00405450" w:rsidRDefault="00E405CA">
      <w:pPr>
        <w:pStyle w:val="Default"/>
        <w:numPr>
          <w:ilvl w:val="0"/>
          <w:numId w:val="1"/>
        </w:numPr>
        <w:ind w:left="426"/>
        <w:jc w:val="both"/>
        <w:rPr>
          <w:sz w:val="22"/>
          <w:szCs w:val="22"/>
        </w:rPr>
      </w:pPr>
      <w:r w:rsidRPr="00405450">
        <w:rPr>
          <w:sz w:val="22"/>
          <w:szCs w:val="22"/>
        </w:rPr>
        <w:t>Przyczyną odwołania jest naruszenie przepisów prawa w związku z zajmowanym stanowiskiem opisane szczegółowo w uzasadnieniu stanowiącym integralną część zarządzenia.</w:t>
      </w:r>
    </w:p>
    <w:p w:rsidR="00907D88" w:rsidRPr="00405450" w:rsidRDefault="00907D88">
      <w:pPr>
        <w:pStyle w:val="Default"/>
        <w:rPr>
          <w:sz w:val="22"/>
          <w:szCs w:val="22"/>
        </w:rPr>
      </w:pPr>
    </w:p>
    <w:p w:rsidR="00907D88" w:rsidRPr="00405450" w:rsidRDefault="00907D88">
      <w:pPr>
        <w:pStyle w:val="Default"/>
        <w:jc w:val="center"/>
        <w:rPr>
          <w:b/>
          <w:sz w:val="22"/>
          <w:szCs w:val="22"/>
        </w:rPr>
      </w:pPr>
    </w:p>
    <w:p w:rsidR="00907D88" w:rsidRPr="00405450" w:rsidRDefault="00405450">
      <w:pPr>
        <w:pStyle w:val="Default"/>
        <w:jc w:val="center"/>
        <w:rPr>
          <w:b/>
          <w:sz w:val="22"/>
          <w:szCs w:val="22"/>
        </w:rPr>
      </w:pPr>
      <w:r w:rsidRPr="00405450">
        <w:rPr>
          <w:b/>
          <w:sz w:val="22"/>
          <w:szCs w:val="22"/>
        </w:rPr>
        <w:t>§ 2</w:t>
      </w:r>
    </w:p>
    <w:p w:rsidR="00E405CA" w:rsidRPr="00405450" w:rsidRDefault="00E405CA">
      <w:pPr>
        <w:pStyle w:val="Default"/>
        <w:jc w:val="center"/>
        <w:rPr>
          <w:b/>
          <w:sz w:val="22"/>
          <w:szCs w:val="22"/>
        </w:rPr>
      </w:pPr>
    </w:p>
    <w:p w:rsidR="00E405CA" w:rsidRDefault="00405450">
      <w:pPr>
        <w:rPr>
          <w:rFonts w:ascii="Tahoma" w:hAnsi="Tahoma" w:cs="Tahoma"/>
        </w:rPr>
      </w:pPr>
      <w:r w:rsidRPr="00405450">
        <w:rPr>
          <w:rFonts w:ascii="Tahoma" w:hAnsi="Tahoma" w:cs="Tahoma"/>
        </w:rPr>
        <w:t xml:space="preserve">Zarządzenie wchodzi w życie z dniem 21 </w:t>
      </w:r>
      <w:r w:rsidR="00E405CA" w:rsidRPr="00405450">
        <w:rPr>
          <w:rFonts w:ascii="Tahoma" w:hAnsi="Tahoma" w:cs="Tahoma"/>
        </w:rPr>
        <w:t>lutego</w:t>
      </w:r>
      <w:r w:rsidRPr="00405450">
        <w:rPr>
          <w:rFonts w:ascii="Tahoma" w:hAnsi="Tahoma" w:cs="Tahoma"/>
        </w:rPr>
        <w:t xml:space="preserve"> 202</w:t>
      </w:r>
      <w:r w:rsidR="00E405CA" w:rsidRPr="00405450">
        <w:rPr>
          <w:rFonts w:ascii="Tahoma" w:hAnsi="Tahoma" w:cs="Tahoma"/>
        </w:rPr>
        <w:t>3</w:t>
      </w:r>
      <w:r w:rsidRPr="00405450">
        <w:rPr>
          <w:rFonts w:ascii="Tahoma" w:hAnsi="Tahoma" w:cs="Tahoma"/>
        </w:rPr>
        <w:t xml:space="preserve"> r.</w:t>
      </w:r>
    </w:p>
    <w:p w:rsidR="00517033" w:rsidRDefault="00517033">
      <w:pPr>
        <w:rPr>
          <w:rFonts w:ascii="Tahoma" w:hAnsi="Tahoma" w:cs="Tahoma"/>
        </w:rPr>
      </w:pPr>
    </w:p>
    <w:p w:rsidR="00517033" w:rsidRDefault="00517033" w:rsidP="00517033">
      <w:pPr>
        <w:pStyle w:val="Standard"/>
        <w:tabs>
          <w:tab w:val="left" w:pos="945"/>
        </w:tabs>
        <w:spacing w:line="276" w:lineRule="auto"/>
        <w:ind w:left="225" w:hanging="225"/>
        <w:rPr>
          <w:rFonts w:ascii="Tahoma" w:hAnsi="Tahoma"/>
          <w:sz w:val="22"/>
          <w:szCs w:val="22"/>
        </w:rPr>
      </w:pPr>
      <w:r>
        <w:rPr>
          <w:rFonts w:ascii="Tahoma" w:hAnsi="Tahoma"/>
          <w:sz w:val="22"/>
          <w:szCs w:val="22"/>
        </w:rPr>
        <w:tab/>
      </w:r>
      <w:r>
        <w:rPr>
          <w:rFonts w:ascii="Tahoma" w:hAnsi="Tahoma"/>
          <w:sz w:val="22"/>
          <w:szCs w:val="22"/>
        </w:rPr>
        <w:tab/>
      </w:r>
      <w:r>
        <w:rPr>
          <w:rFonts w:ascii="Tahoma" w:hAnsi="Tahoma"/>
          <w:sz w:val="22"/>
          <w:szCs w:val="22"/>
        </w:rPr>
        <w:tab/>
      </w:r>
      <w:r>
        <w:rPr>
          <w:rFonts w:ascii="Tahoma" w:hAnsi="Tahoma"/>
          <w:sz w:val="22"/>
          <w:szCs w:val="22"/>
        </w:rPr>
        <w:tab/>
      </w:r>
      <w:r>
        <w:rPr>
          <w:rFonts w:ascii="Tahoma" w:hAnsi="Tahoma"/>
          <w:sz w:val="22"/>
          <w:szCs w:val="22"/>
        </w:rPr>
        <w:tab/>
      </w:r>
      <w:r>
        <w:rPr>
          <w:rFonts w:ascii="Tahoma" w:hAnsi="Tahoma"/>
          <w:sz w:val="22"/>
          <w:szCs w:val="22"/>
        </w:rPr>
        <w:tab/>
      </w:r>
      <w:r>
        <w:rPr>
          <w:rFonts w:ascii="Tahoma" w:hAnsi="Tahoma"/>
          <w:sz w:val="22"/>
          <w:szCs w:val="22"/>
        </w:rPr>
        <w:tab/>
      </w:r>
      <w:r>
        <w:rPr>
          <w:rFonts w:ascii="Tahoma" w:hAnsi="Tahoma"/>
          <w:sz w:val="22"/>
          <w:szCs w:val="22"/>
        </w:rPr>
        <w:tab/>
      </w:r>
      <w:r>
        <w:rPr>
          <w:rFonts w:ascii="Tahoma" w:hAnsi="Tahoma"/>
          <w:sz w:val="22"/>
          <w:szCs w:val="22"/>
        </w:rPr>
        <w:tab/>
      </w:r>
      <w:r>
        <w:rPr>
          <w:rFonts w:ascii="Tahoma" w:hAnsi="Tahoma"/>
          <w:sz w:val="22"/>
          <w:szCs w:val="22"/>
        </w:rPr>
        <w:tab/>
        <w:t xml:space="preserve">z </w:t>
      </w:r>
      <w:proofErr w:type="spellStart"/>
      <w:r>
        <w:rPr>
          <w:rFonts w:ascii="Tahoma" w:hAnsi="Tahoma"/>
          <w:sz w:val="22"/>
          <w:szCs w:val="22"/>
        </w:rPr>
        <w:t>up</w:t>
      </w:r>
      <w:proofErr w:type="spellEnd"/>
      <w:r>
        <w:rPr>
          <w:rFonts w:ascii="Tahoma" w:hAnsi="Tahoma"/>
          <w:sz w:val="22"/>
          <w:szCs w:val="22"/>
        </w:rPr>
        <w:t>. PREZYDENTA MIASTA</w:t>
      </w:r>
    </w:p>
    <w:p w:rsidR="00517033" w:rsidRDefault="00517033" w:rsidP="00517033">
      <w:pPr>
        <w:pStyle w:val="Standard"/>
        <w:tabs>
          <w:tab w:val="left" w:pos="945"/>
        </w:tabs>
        <w:spacing w:line="276" w:lineRule="auto"/>
        <w:ind w:left="225" w:hanging="225"/>
        <w:rPr>
          <w:rFonts w:ascii="Tahoma" w:hAnsi="Tahoma"/>
          <w:sz w:val="22"/>
          <w:szCs w:val="22"/>
        </w:rPr>
      </w:pPr>
      <w:r>
        <w:rPr>
          <w:rFonts w:ascii="Tahoma" w:hAnsi="Tahoma"/>
          <w:sz w:val="22"/>
          <w:szCs w:val="22"/>
        </w:rPr>
        <w:tab/>
      </w:r>
      <w:r>
        <w:rPr>
          <w:rFonts w:ascii="Tahoma" w:hAnsi="Tahoma"/>
          <w:sz w:val="22"/>
          <w:szCs w:val="22"/>
        </w:rPr>
        <w:tab/>
      </w:r>
      <w:r>
        <w:rPr>
          <w:rFonts w:ascii="Tahoma" w:hAnsi="Tahoma"/>
          <w:sz w:val="22"/>
          <w:szCs w:val="22"/>
        </w:rPr>
        <w:tab/>
      </w:r>
      <w:r>
        <w:rPr>
          <w:rFonts w:ascii="Tahoma" w:hAnsi="Tahoma"/>
          <w:sz w:val="22"/>
          <w:szCs w:val="22"/>
        </w:rPr>
        <w:tab/>
      </w:r>
      <w:r>
        <w:rPr>
          <w:rFonts w:ascii="Tahoma" w:hAnsi="Tahoma"/>
          <w:sz w:val="22"/>
          <w:szCs w:val="22"/>
        </w:rPr>
        <w:tab/>
      </w:r>
      <w:r>
        <w:rPr>
          <w:rFonts w:ascii="Tahoma" w:hAnsi="Tahoma"/>
          <w:sz w:val="22"/>
          <w:szCs w:val="22"/>
        </w:rPr>
        <w:tab/>
      </w:r>
      <w:r>
        <w:rPr>
          <w:rFonts w:ascii="Tahoma" w:hAnsi="Tahoma"/>
          <w:sz w:val="22"/>
          <w:szCs w:val="22"/>
        </w:rPr>
        <w:tab/>
      </w:r>
      <w:r>
        <w:rPr>
          <w:rFonts w:ascii="Tahoma" w:hAnsi="Tahoma"/>
          <w:sz w:val="22"/>
          <w:szCs w:val="22"/>
        </w:rPr>
        <w:tab/>
      </w:r>
      <w:r>
        <w:rPr>
          <w:rFonts w:ascii="Tahoma" w:hAnsi="Tahoma"/>
          <w:sz w:val="22"/>
          <w:szCs w:val="22"/>
        </w:rPr>
        <w:tab/>
      </w:r>
      <w:r>
        <w:rPr>
          <w:rFonts w:ascii="Tahoma" w:hAnsi="Tahoma"/>
          <w:sz w:val="22"/>
          <w:szCs w:val="22"/>
        </w:rPr>
        <w:tab/>
        <w:t xml:space="preserve">/-/ Tomasz </w:t>
      </w:r>
      <w:proofErr w:type="spellStart"/>
      <w:r>
        <w:rPr>
          <w:rFonts w:ascii="Tahoma" w:hAnsi="Tahoma"/>
          <w:sz w:val="22"/>
          <w:szCs w:val="22"/>
        </w:rPr>
        <w:t>Ochocki</w:t>
      </w:r>
      <w:proofErr w:type="spellEnd"/>
    </w:p>
    <w:p w:rsidR="003D43A9" w:rsidRDefault="00517033" w:rsidP="00517033">
      <w:pPr>
        <w:pStyle w:val="Standard"/>
        <w:tabs>
          <w:tab w:val="left" w:pos="945"/>
        </w:tabs>
        <w:spacing w:line="276" w:lineRule="auto"/>
        <w:ind w:left="225" w:hanging="225"/>
        <w:rPr>
          <w:rFonts w:ascii="Tahoma" w:hAnsi="Tahoma"/>
          <w:sz w:val="22"/>
          <w:szCs w:val="22"/>
        </w:rPr>
      </w:pPr>
      <w:r>
        <w:rPr>
          <w:rFonts w:ascii="Tahoma" w:hAnsi="Tahoma"/>
          <w:sz w:val="22"/>
          <w:szCs w:val="22"/>
        </w:rPr>
        <w:tab/>
      </w:r>
      <w:r>
        <w:rPr>
          <w:rFonts w:ascii="Tahoma" w:hAnsi="Tahoma"/>
          <w:sz w:val="22"/>
          <w:szCs w:val="22"/>
        </w:rPr>
        <w:tab/>
      </w:r>
      <w:r>
        <w:rPr>
          <w:rFonts w:ascii="Tahoma" w:hAnsi="Tahoma"/>
          <w:sz w:val="22"/>
          <w:szCs w:val="22"/>
        </w:rPr>
        <w:tab/>
      </w:r>
      <w:r>
        <w:rPr>
          <w:rFonts w:ascii="Tahoma" w:hAnsi="Tahoma"/>
          <w:sz w:val="22"/>
          <w:szCs w:val="22"/>
        </w:rPr>
        <w:tab/>
      </w:r>
      <w:r>
        <w:rPr>
          <w:rFonts w:ascii="Tahoma" w:hAnsi="Tahoma"/>
          <w:sz w:val="22"/>
          <w:szCs w:val="22"/>
        </w:rPr>
        <w:tab/>
      </w:r>
      <w:r>
        <w:rPr>
          <w:rFonts w:ascii="Tahoma" w:hAnsi="Tahoma"/>
          <w:sz w:val="22"/>
          <w:szCs w:val="22"/>
        </w:rPr>
        <w:tab/>
      </w:r>
      <w:r>
        <w:rPr>
          <w:rFonts w:ascii="Tahoma" w:hAnsi="Tahoma"/>
          <w:sz w:val="22"/>
          <w:szCs w:val="22"/>
        </w:rPr>
        <w:tab/>
      </w:r>
      <w:r>
        <w:rPr>
          <w:rFonts w:ascii="Tahoma" w:hAnsi="Tahoma"/>
          <w:sz w:val="22"/>
          <w:szCs w:val="22"/>
        </w:rPr>
        <w:tab/>
      </w:r>
      <w:r>
        <w:rPr>
          <w:rFonts w:ascii="Tahoma" w:hAnsi="Tahoma"/>
          <w:sz w:val="22"/>
          <w:szCs w:val="22"/>
        </w:rPr>
        <w:tab/>
      </w:r>
      <w:r>
        <w:rPr>
          <w:rFonts w:ascii="Tahoma" w:hAnsi="Tahoma"/>
          <w:sz w:val="22"/>
          <w:szCs w:val="22"/>
        </w:rPr>
        <w:tab/>
      </w:r>
      <w:proofErr w:type="spellStart"/>
      <w:r>
        <w:rPr>
          <w:rFonts w:ascii="Tahoma" w:hAnsi="Tahoma"/>
          <w:sz w:val="22"/>
          <w:szCs w:val="22"/>
        </w:rPr>
        <w:t>Sekretarz</w:t>
      </w:r>
      <w:proofErr w:type="spellEnd"/>
      <w:r>
        <w:rPr>
          <w:rFonts w:ascii="Tahoma" w:hAnsi="Tahoma"/>
          <w:sz w:val="22"/>
          <w:szCs w:val="22"/>
        </w:rPr>
        <w:t xml:space="preserve"> </w:t>
      </w:r>
      <w:proofErr w:type="spellStart"/>
      <w:r>
        <w:rPr>
          <w:rFonts w:ascii="Tahoma" w:hAnsi="Tahoma"/>
          <w:sz w:val="22"/>
          <w:szCs w:val="22"/>
        </w:rPr>
        <w:t>Miasta</w:t>
      </w:r>
      <w:proofErr w:type="spellEnd"/>
    </w:p>
    <w:p w:rsidR="003D43A9" w:rsidRPr="003D43A9" w:rsidRDefault="003D43A9" w:rsidP="00154233">
      <w:pPr>
        <w:spacing w:after="0" w:line="262" w:lineRule="exact"/>
        <w:jc w:val="center"/>
        <w:rPr>
          <w:rFonts w:ascii="Tahoma" w:hAnsi="Tahoma" w:cs="Tahoma"/>
          <w:color w:val="000000"/>
          <w:szCs w:val="24"/>
        </w:rPr>
      </w:pPr>
      <w:r>
        <w:rPr>
          <w:rFonts w:ascii="Tahoma" w:hAnsi="Tahoma"/>
        </w:rPr>
        <w:br w:type="column"/>
      </w:r>
      <w:r w:rsidRPr="003D43A9">
        <w:rPr>
          <w:rFonts w:ascii="Tahoma" w:hAnsi="Tahoma" w:cs="Tahoma"/>
          <w:b/>
          <w:color w:val="000000"/>
          <w:w w:val="105"/>
          <w:szCs w:val="24"/>
        </w:rPr>
        <w:t>UZASADNIENIE</w:t>
      </w:r>
    </w:p>
    <w:p w:rsidR="003D43A9" w:rsidRPr="003D43A9" w:rsidRDefault="003D43A9" w:rsidP="00154233">
      <w:pPr>
        <w:pStyle w:val="Tekstpodstawowy"/>
        <w:spacing w:after="0" w:line="262" w:lineRule="exact"/>
        <w:jc w:val="center"/>
        <w:rPr>
          <w:rFonts w:ascii="Tahoma" w:hAnsi="Tahoma" w:cs="Tahoma"/>
          <w:color w:val="000000"/>
          <w:szCs w:val="24"/>
        </w:rPr>
      </w:pPr>
      <w:r w:rsidRPr="003D43A9">
        <w:rPr>
          <w:rFonts w:ascii="Tahoma" w:hAnsi="Tahoma" w:cs="Tahoma"/>
          <w:color w:val="000000"/>
          <w:w w:val="105"/>
          <w:szCs w:val="24"/>
        </w:rPr>
        <w:t>do Zarządzenia nr P.0050.47.2023 Prezydenta Miasta Lubina z dnia 21 lutego 2023 r.</w:t>
      </w:r>
    </w:p>
    <w:p w:rsidR="003D43A9" w:rsidRPr="003D43A9" w:rsidRDefault="003D43A9" w:rsidP="00154233">
      <w:pPr>
        <w:pStyle w:val="Tekstpodstawowy"/>
        <w:spacing w:after="0"/>
        <w:jc w:val="center"/>
        <w:rPr>
          <w:rFonts w:ascii="Tahoma" w:hAnsi="Tahoma" w:cs="Tahoma"/>
          <w:color w:val="000000"/>
          <w:szCs w:val="24"/>
        </w:rPr>
      </w:pPr>
      <w:r w:rsidRPr="003D43A9">
        <w:rPr>
          <w:rFonts w:ascii="Tahoma" w:hAnsi="Tahoma" w:cs="Tahoma"/>
          <w:color w:val="000000"/>
          <w:w w:val="105"/>
          <w:szCs w:val="24"/>
        </w:rPr>
        <w:t>w sprawie odwołania Dyrektora Narodowej Orkiestry Dętej z siedzibą w Lubinie</w:t>
      </w:r>
    </w:p>
    <w:p w:rsidR="003D43A9" w:rsidRPr="003D43A9" w:rsidRDefault="003D43A9" w:rsidP="00154233">
      <w:pPr>
        <w:pStyle w:val="Tekstpodstawowy"/>
        <w:spacing w:after="0"/>
        <w:jc w:val="both"/>
        <w:rPr>
          <w:rFonts w:ascii="Tahoma" w:hAnsi="Tahoma" w:cs="Tahoma"/>
          <w:color w:val="000000"/>
          <w:szCs w:val="24"/>
        </w:rPr>
      </w:pPr>
    </w:p>
    <w:p w:rsidR="003D43A9" w:rsidRPr="003D43A9" w:rsidRDefault="003D43A9" w:rsidP="003D43A9">
      <w:pPr>
        <w:jc w:val="both"/>
        <w:rPr>
          <w:rFonts w:ascii="Tahoma" w:hAnsi="Tahoma" w:cs="Tahoma"/>
          <w:szCs w:val="24"/>
        </w:rPr>
      </w:pPr>
      <w:r w:rsidRPr="003D43A9">
        <w:rPr>
          <w:rFonts w:ascii="Tahoma" w:hAnsi="Tahoma" w:cs="Tahoma"/>
          <w:szCs w:val="24"/>
        </w:rPr>
        <w:t xml:space="preserve">Narodowa Orkiestra Dęta z siedzibą w Lubinie została utworzona na podstawie Uchwały </w:t>
      </w:r>
      <w:r w:rsidRPr="003D43A9">
        <w:rPr>
          <w:rFonts w:ascii="Tahoma" w:hAnsi="Tahoma" w:cs="Tahoma"/>
          <w:szCs w:val="24"/>
        </w:rPr>
        <w:br/>
        <w:t xml:space="preserve">Nr VII/43/19 Rady Miejskiej w Lubinie z dnia 21 maja 2019 r. w sprawie: aktu o utworzeniu samorządowej instytucji kultury pod nazwą NARODOWA ORKIESTRA DĘTA z siedzibą </w:t>
      </w:r>
      <w:r w:rsidRPr="003D43A9">
        <w:rPr>
          <w:rFonts w:ascii="Tahoma" w:hAnsi="Tahoma" w:cs="Tahoma"/>
          <w:szCs w:val="24"/>
        </w:rPr>
        <w:br/>
        <w:t xml:space="preserve">w Lubinie i nadania jej statutu (Dziennik Urzędowy Województwa Dolnośląskiego z 2019, </w:t>
      </w:r>
      <w:r w:rsidRPr="003D43A9">
        <w:rPr>
          <w:rFonts w:ascii="Tahoma" w:hAnsi="Tahoma" w:cs="Tahoma"/>
          <w:szCs w:val="24"/>
        </w:rPr>
        <w:br/>
        <w:t xml:space="preserve">poz. 3479) ze zmianą wprowadzoną uchwałą Nr IX/61/19 Rady Miejskiej w Lubinie z dnia </w:t>
      </w:r>
      <w:r w:rsidRPr="003D43A9">
        <w:rPr>
          <w:rFonts w:ascii="Tahoma" w:hAnsi="Tahoma" w:cs="Tahoma"/>
          <w:szCs w:val="24"/>
        </w:rPr>
        <w:br/>
        <w:t>3 września 2019 r. (Dziennik Urzędowy Województwa Dolnośląskiego z 2019, poz. 5402).</w:t>
      </w:r>
    </w:p>
    <w:p w:rsidR="003D43A9" w:rsidRPr="003D43A9" w:rsidRDefault="003D43A9" w:rsidP="003D43A9">
      <w:pPr>
        <w:jc w:val="both"/>
        <w:rPr>
          <w:rFonts w:ascii="Tahoma" w:hAnsi="Tahoma" w:cs="Tahoma"/>
          <w:szCs w:val="24"/>
        </w:rPr>
      </w:pPr>
    </w:p>
    <w:p w:rsidR="003D43A9" w:rsidRPr="003D43A9" w:rsidRDefault="003D43A9" w:rsidP="003D43A9">
      <w:pPr>
        <w:jc w:val="both"/>
        <w:rPr>
          <w:rFonts w:ascii="Tahoma" w:hAnsi="Tahoma" w:cs="Tahoma"/>
          <w:szCs w:val="24"/>
        </w:rPr>
      </w:pPr>
      <w:r w:rsidRPr="003D43A9">
        <w:rPr>
          <w:rFonts w:ascii="Tahoma" w:hAnsi="Tahoma" w:cs="Tahoma"/>
          <w:szCs w:val="24"/>
        </w:rPr>
        <w:t>Narodowa Orkiestra Dęta jest gminną jednostką organizacyjną, działającą w formie samorządowej instytucji kultury oraz instytucją artystyczną utworzoną w celu prowadzenia działalności kulturalnej w zakresie rozwijania i zaspakajania potrzeb społeczeństwa w zakresie kultury muzycznej. Organizację i zadania Narodowej Orkiestry Dętej określa statut. Narodowa Orkiestra Dęta z siedzibą w Lubinie (dalej: ,,NOD") jest wpisana do rejestru instytucji kultury prowadzonego przez Urząd Miejski w Lubinie pod numerem 6 w dniu 01.07.2019 r. i posiada osobowość prawną.</w:t>
      </w:r>
    </w:p>
    <w:p w:rsidR="003D43A9" w:rsidRPr="003D43A9" w:rsidRDefault="003D43A9" w:rsidP="003D43A9">
      <w:pPr>
        <w:jc w:val="both"/>
        <w:rPr>
          <w:rFonts w:ascii="Tahoma" w:hAnsi="Tahoma" w:cs="Tahoma"/>
          <w:szCs w:val="24"/>
        </w:rPr>
      </w:pPr>
      <w:r w:rsidRPr="003D43A9">
        <w:rPr>
          <w:rFonts w:ascii="Tahoma" w:hAnsi="Tahoma" w:cs="Tahoma"/>
          <w:szCs w:val="24"/>
        </w:rPr>
        <w:t xml:space="preserve">Należy wskazać, że w świetle art. 27 ustawy z dnia 25 października 1991 roku </w:t>
      </w:r>
      <w:r w:rsidRPr="003D43A9">
        <w:rPr>
          <w:rFonts w:ascii="Tahoma" w:hAnsi="Tahoma" w:cs="Tahoma"/>
          <w:szCs w:val="24"/>
        </w:rPr>
        <w:br/>
        <w:t xml:space="preserve">o organizowaniu i prowadzeniu działalności kulturalnej instytucja kultury gospodaruje samodzielnie przydzieloną i nabytą częścią mienia oraz prowadzi samodzielną gospodarkę </w:t>
      </w:r>
      <w:r w:rsidRPr="003D43A9">
        <w:rPr>
          <w:rFonts w:ascii="Tahoma" w:hAnsi="Tahoma" w:cs="Tahoma"/>
          <w:szCs w:val="24"/>
        </w:rPr>
        <w:br/>
        <w:t>w ramach posiadanych środków, kierując się zasadami efektywności ich wykorzystania. Podstawą gospodarki finansowej instytucji kultury jest plan finansowy ustalony przez dyrektora, z zachowaniem wysokości dotacji organizatora. Instytucja kultury sporządza plan finansowy zgodnie z przepisami ustawy z dnia 27 sierpnia 2009 r. o finansach publicznych.</w:t>
      </w:r>
    </w:p>
    <w:p w:rsidR="003D43A9" w:rsidRPr="003D43A9" w:rsidRDefault="003D43A9" w:rsidP="003D43A9">
      <w:pPr>
        <w:jc w:val="both"/>
        <w:rPr>
          <w:rFonts w:ascii="Tahoma" w:hAnsi="Tahoma" w:cs="Tahoma"/>
          <w:szCs w:val="24"/>
        </w:rPr>
      </w:pPr>
    </w:p>
    <w:p w:rsidR="003D43A9" w:rsidRPr="003D43A9" w:rsidRDefault="003D43A9" w:rsidP="003D43A9">
      <w:pPr>
        <w:jc w:val="both"/>
        <w:rPr>
          <w:rFonts w:ascii="Tahoma" w:hAnsi="Tahoma" w:cs="Tahoma"/>
          <w:szCs w:val="24"/>
        </w:rPr>
      </w:pPr>
      <w:r w:rsidRPr="003D43A9">
        <w:rPr>
          <w:rFonts w:ascii="Tahoma" w:hAnsi="Tahoma" w:cs="Tahoma"/>
          <w:szCs w:val="24"/>
        </w:rPr>
        <w:t xml:space="preserve">Dyrektorem jednostki jest </w:t>
      </w:r>
      <w:r w:rsidRPr="003D43A9">
        <w:rPr>
          <w:rFonts w:ascii="Tahoma" w:hAnsi="Tahoma" w:cs="Tahoma"/>
          <w:b/>
          <w:szCs w:val="24"/>
        </w:rPr>
        <w:t>Pan Mariusz Dziubek</w:t>
      </w:r>
      <w:r w:rsidRPr="003D43A9">
        <w:rPr>
          <w:rFonts w:ascii="Tahoma" w:hAnsi="Tahoma" w:cs="Tahoma"/>
          <w:szCs w:val="24"/>
        </w:rPr>
        <w:t xml:space="preserve">, powołany Zarządzeniem </w:t>
      </w:r>
      <w:r w:rsidRPr="003D43A9">
        <w:rPr>
          <w:rFonts w:ascii="Tahoma" w:hAnsi="Tahoma" w:cs="Tahoma"/>
          <w:szCs w:val="24"/>
        </w:rPr>
        <w:br/>
        <w:t>nr P.0050.183.2019 Prezydenta Miasta Lubina z dnia 5 lipca 2019 r.</w:t>
      </w:r>
    </w:p>
    <w:p w:rsidR="003D43A9" w:rsidRPr="003D43A9" w:rsidRDefault="003D43A9" w:rsidP="003D43A9">
      <w:pPr>
        <w:jc w:val="both"/>
        <w:rPr>
          <w:rFonts w:ascii="Tahoma" w:hAnsi="Tahoma" w:cs="Tahoma"/>
          <w:szCs w:val="24"/>
        </w:rPr>
      </w:pPr>
      <w:r w:rsidRPr="003D43A9">
        <w:rPr>
          <w:rFonts w:ascii="Tahoma" w:hAnsi="Tahoma" w:cs="Tahoma"/>
          <w:szCs w:val="24"/>
        </w:rPr>
        <w:t xml:space="preserve">Zgodnie z przytoczonym zarządzeniem został on powołany na stanowisko Dyrektora Narodowej Orkiestry z siedzibą w Lubinie od dnia 5 lipca 2019 r. do dnia 31 sierpnia 2023 r. </w:t>
      </w:r>
      <w:r w:rsidR="00154233">
        <w:rPr>
          <w:rFonts w:ascii="Tahoma" w:hAnsi="Tahoma" w:cs="Tahoma"/>
          <w:szCs w:val="24"/>
        </w:rPr>
        <w:br/>
      </w:r>
      <w:r w:rsidRPr="003D43A9">
        <w:rPr>
          <w:rFonts w:ascii="Tahoma" w:hAnsi="Tahoma" w:cs="Tahoma"/>
          <w:szCs w:val="24"/>
        </w:rPr>
        <w:t xml:space="preserve">Z dniem 21.12.2022 r. Zarządzeniem nr P.0050.329.2019 Prezydenta Miasta Lubina z dnia </w:t>
      </w:r>
      <w:r w:rsidRPr="003D43A9">
        <w:rPr>
          <w:rFonts w:ascii="Tahoma" w:hAnsi="Tahoma" w:cs="Tahoma"/>
          <w:szCs w:val="24"/>
        </w:rPr>
        <w:br/>
        <w:t>21 grudnia 2022 r. Pan Mariusz Dziubek został odwołany ze stanowiska Dyrektora Narodowej Orkiestry z siedzibą w Lubinie.</w:t>
      </w:r>
    </w:p>
    <w:p w:rsidR="003D43A9" w:rsidRPr="003D43A9" w:rsidRDefault="003D43A9" w:rsidP="003D43A9">
      <w:pPr>
        <w:jc w:val="both"/>
        <w:rPr>
          <w:rFonts w:ascii="Tahoma" w:hAnsi="Tahoma" w:cs="Tahoma"/>
          <w:szCs w:val="24"/>
        </w:rPr>
      </w:pPr>
      <w:r w:rsidRPr="003D43A9">
        <w:rPr>
          <w:rFonts w:ascii="Tahoma" w:hAnsi="Tahoma" w:cs="Tahoma"/>
          <w:szCs w:val="24"/>
        </w:rPr>
        <w:t>Rozstrzygnięciem nadzorczym NK-N.4131.70.10.2022.MF z dnia 8 lutego 2023 roku Wojewoda Dolnośląski stwierdził nieważność zarządzenia nr P.0050.329.2022 Prezydenta Miasta Lubina.</w:t>
      </w:r>
    </w:p>
    <w:p w:rsidR="003D43A9" w:rsidRPr="003D43A9" w:rsidRDefault="003D43A9" w:rsidP="003D43A9">
      <w:pPr>
        <w:jc w:val="both"/>
        <w:rPr>
          <w:rFonts w:ascii="Tahoma" w:hAnsi="Tahoma" w:cs="Tahoma"/>
          <w:szCs w:val="24"/>
        </w:rPr>
      </w:pPr>
    </w:p>
    <w:p w:rsidR="003D43A9" w:rsidRPr="003D43A9" w:rsidRDefault="003D43A9" w:rsidP="003D43A9">
      <w:pPr>
        <w:jc w:val="both"/>
        <w:rPr>
          <w:rFonts w:ascii="Tahoma" w:hAnsi="Tahoma" w:cs="Tahoma"/>
          <w:szCs w:val="24"/>
        </w:rPr>
      </w:pPr>
      <w:r w:rsidRPr="003D43A9">
        <w:rPr>
          <w:rFonts w:ascii="Tahoma" w:hAnsi="Tahoma" w:cs="Tahoma"/>
          <w:szCs w:val="24"/>
        </w:rPr>
        <w:t xml:space="preserve">Zgodnie z art. 15 ust. 1 ustawy z dnia 25 października 1991 roku o organizowaniu </w:t>
      </w:r>
      <w:r w:rsidRPr="003D43A9">
        <w:rPr>
          <w:rFonts w:ascii="Tahoma" w:hAnsi="Tahoma" w:cs="Tahoma"/>
          <w:szCs w:val="24"/>
        </w:rPr>
        <w:br/>
        <w:t>i prowadzeniu działalności kulturalnej (</w:t>
      </w:r>
      <w:proofErr w:type="spellStart"/>
      <w:r w:rsidRPr="003D43A9">
        <w:rPr>
          <w:rFonts w:ascii="Tahoma" w:hAnsi="Tahoma" w:cs="Tahoma"/>
          <w:szCs w:val="24"/>
        </w:rPr>
        <w:t>t.j</w:t>
      </w:r>
      <w:proofErr w:type="spellEnd"/>
      <w:r w:rsidRPr="003D43A9">
        <w:rPr>
          <w:rFonts w:ascii="Tahoma" w:hAnsi="Tahoma" w:cs="Tahoma"/>
          <w:szCs w:val="24"/>
        </w:rPr>
        <w:t xml:space="preserve">. Dz. U. z 2020 r., poz. 194), Dyrektora instytucji kultury powołuje organizator na czas określony, z zastrzeżeniem ust. 3, po zasięgnięciu opinii związków zawodowych działających w tej instytucji kultury oraz stowarzyszeń zawodowych </w:t>
      </w:r>
      <w:r w:rsidR="00154233">
        <w:rPr>
          <w:rFonts w:ascii="Tahoma" w:hAnsi="Tahoma" w:cs="Tahoma"/>
          <w:szCs w:val="24"/>
        </w:rPr>
        <w:br/>
      </w:r>
      <w:r w:rsidRPr="003D43A9">
        <w:rPr>
          <w:rFonts w:ascii="Tahoma" w:hAnsi="Tahoma" w:cs="Tahoma"/>
          <w:szCs w:val="24"/>
        </w:rPr>
        <w:t>i twórczych właściwych ze względu na rodzaj działalności prowadzonej przez instytucję.</w:t>
      </w:r>
    </w:p>
    <w:p w:rsidR="003D43A9" w:rsidRPr="003D43A9" w:rsidRDefault="003D43A9" w:rsidP="003D43A9">
      <w:pPr>
        <w:jc w:val="both"/>
        <w:rPr>
          <w:rFonts w:ascii="Tahoma" w:hAnsi="Tahoma" w:cs="Tahoma"/>
          <w:szCs w:val="24"/>
        </w:rPr>
      </w:pPr>
      <w:r w:rsidRPr="003D43A9">
        <w:rPr>
          <w:rFonts w:ascii="Tahoma" w:hAnsi="Tahoma" w:cs="Tahoma"/>
          <w:szCs w:val="24"/>
        </w:rPr>
        <w:t xml:space="preserve">Przed wydaniem niniejszego zarządzenia o odwołaniu Pana Mariusza Dziubka </w:t>
      </w:r>
      <w:r w:rsidRPr="003D43A9">
        <w:rPr>
          <w:rFonts w:ascii="Tahoma" w:hAnsi="Tahoma" w:cs="Tahoma"/>
          <w:szCs w:val="24"/>
        </w:rPr>
        <w:br/>
        <w:t>ze stanowiska Dyrektora NOD, Prezydent Miasta Lubina wystosował wniosek o wydanie opinii do niżej wymienionych stowarzyszeń zawodowych i twórczych:</w:t>
      </w:r>
    </w:p>
    <w:p w:rsidR="003D43A9" w:rsidRPr="003D43A9" w:rsidRDefault="003D43A9" w:rsidP="003D43A9">
      <w:pPr>
        <w:pStyle w:val="Akapitzlist"/>
        <w:numPr>
          <w:ilvl w:val="0"/>
          <w:numId w:val="5"/>
        </w:numPr>
        <w:jc w:val="both"/>
        <w:rPr>
          <w:rFonts w:ascii="Tahoma" w:hAnsi="Tahoma" w:cs="Tahoma"/>
          <w:szCs w:val="24"/>
        </w:rPr>
      </w:pPr>
      <w:r w:rsidRPr="003D43A9">
        <w:rPr>
          <w:rFonts w:ascii="Tahoma" w:hAnsi="Tahoma" w:cs="Tahoma"/>
          <w:szCs w:val="24"/>
        </w:rPr>
        <w:t>Polski Związek Chórów i Orkiestr Oddział Dolnośląski ul. Tadeusza Kościuszki 4, 59-800 Lubań.</w:t>
      </w:r>
    </w:p>
    <w:p w:rsidR="003D43A9" w:rsidRPr="003D43A9" w:rsidRDefault="003D43A9" w:rsidP="003D43A9">
      <w:pPr>
        <w:pStyle w:val="Akapitzlist"/>
        <w:numPr>
          <w:ilvl w:val="0"/>
          <w:numId w:val="5"/>
        </w:numPr>
        <w:jc w:val="both"/>
        <w:rPr>
          <w:rFonts w:ascii="Tahoma" w:hAnsi="Tahoma" w:cs="Tahoma"/>
          <w:szCs w:val="24"/>
        </w:rPr>
      </w:pPr>
      <w:r w:rsidRPr="003D43A9">
        <w:rPr>
          <w:rFonts w:ascii="Tahoma" w:hAnsi="Tahoma" w:cs="Tahoma"/>
          <w:szCs w:val="24"/>
        </w:rPr>
        <w:t>Stowarzyszenie Polskich Artystów Muzyków ul. Marszałkowska 84/92 lok.202 00-514 Warszawa.</w:t>
      </w:r>
    </w:p>
    <w:p w:rsidR="003D43A9" w:rsidRPr="003D43A9" w:rsidRDefault="003D43A9" w:rsidP="003D43A9">
      <w:pPr>
        <w:pStyle w:val="Akapitzlist"/>
        <w:numPr>
          <w:ilvl w:val="0"/>
          <w:numId w:val="5"/>
        </w:numPr>
        <w:jc w:val="both"/>
        <w:rPr>
          <w:rFonts w:ascii="Tahoma" w:hAnsi="Tahoma" w:cs="Tahoma"/>
          <w:szCs w:val="24"/>
        </w:rPr>
      </w:pPr>
      <w:r w:rsidRPr="003D43A9">
        <w:rPr>
          <w:rFonts w:ascii="Tahoma" w:hAnsi="Tahoma" w:cs="Tahoma"/>
          <w:szCs w:val="24"/>
        </w:rPr>
        <w:t>Związek Producentów Audio-Video ul. Fabryczna 5A 00-446 Warszawa.</w:t>
      </w:r>
    </w:p>
    <w:p w:rsidR="003D43A9" w:rsidRPr="003D43A9" w:rsidRDefault="003D43A9" w:rsidP="003D43A9">
      <w:pPr>
        <w:pStyle w:val="Akapitzlist"/>
        <w:numPr>
          <w:ilvl w:val="0"/>
          <w:numId w:val="5"/>
        </w:numPr>
        <w:jc w:val="both"/>
        <w:rPr>
          <w:rFonts w:ascii="Tahoma" w:hAnsi="Tahoma" w:cs="Tahoma"/>
          <w:szCs w:val="24"/>
        </w:rPr>
      </w:pPr>
      <w:r w:rsidRPr="003D43A9">
        <w:rPr>
          <w:rFonts w:ascii="Tahoma" w:hAnsi="Tahoma" w:cs="Tahoma"/>
          <w:noProof/>
          <w:sz w:val="20"/>
          <w:lang w:eastAsia="pl-PL"/>
        </w:rPr>
        <mc:AlternateContent>
          <mc:Choice Requires="wps">
            <w:drawing>
              <wp:anchor distT="0" distB="0" distL="0" distR="0" simplePos="0" relativeHeight="251659264" behindDoc="0" locked="0" layoutInCell="0" allowOverlap="1" wp14:anchorId="0A51BB63" wp14:editId="7C8E7537">
                <wp:simplePos x="0" y="0"/>
                <wp:positionH relativeFrom="page">
                  <wp:posOffset>0</wp:posOffset>
                </wp:positionH>
                <wp:positionV relativeFrom="page">
                  <wp:posOffset>9022080</wp:posOffset>
                </wp:positionV>
                <wp:extent cx="635" cy="0"/>
                <wp:effectExtent l="0" t="0" r="0" b="0"/>
                <wp:wrapNone/>
                <wp:docPr id="3" name="Line 10"/>
                <wp:cNvGraphicFramePr/>
                <a:graphic xmlns:a="http://schemas.openxmlformats.org/drawingml/2006/main">
                  <a:graphicData uri="http://schemas.microsoft.com/office/word/2010/wordprocessingShape">
                    <wps:wsp>
                      <wps:cNvCnPr/>
                      <wps:spPr>
                        <a:xfrm>
                          <a:off x="0" y="0"/>
                          <a:ext cx="720" cy="0"/>
                        </a:xfrm>
                        <a:prstGeom prst="line">
                          <a:avLst/>
                        </a:prstGeom>
                        <a:ln w="0">
                          <a:solidFill>
                            <a:srgbClr val="C3C3C3"/>
                          </a:solidFill>
                        </a:ln>
                      </wps:spPr>
                      <wps:style>
                        <a:lnRef idx="0">
                          <a:scrgbClr r="0" g="0" b="0"/>
                        </a:lnRef>
                        <a:fillRef idx="0">
                          <a:scrgbClr r="0" g="0" b="0"/>
                        </a:fillRef>
                        <a:effectRef idx="0">
                          <a:scrgbClr r="0" g="0" b="0"/>
                        </a:effectRef>
                        <a:fontRef idx="minor"/>
                      </wps:style>
                      <wps:bodyPr/>
                    </wps:wsp>
                  </a:graphicData>
                </a:graphic>
              </wp:anchor>
            </w:drawing>
          </mc:Choice>
          <mc:Fallback>
            <w:pict>
              <v:line w14:anchorId="69254E5D" id="Line 10" o:spid="_x0000_s1026" style="position:absolute;z-index:251659264;visibility:visible;mso-wrap-style:square;mso-wrap-distance-left:0;mso-wrap-distance-top:0;mso-wrap-distance-right:0;mso-wrap-distance-bottom:0;mso-position-horizontal:absolute;mso-position-horizontal-relative:page;mso-position-vertical:absolute;mso-position-vertical-relative:page" from="0,710.4pt" to=".05pt,7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" o:allowincell="f" strokecolor="#c3c3c3" strokeweight="0">
                <w10:wrap anchorx="page" anchory="page"/>
              </v:line>
            </w:pict>
          </mc:Fallback>
        </mc:AlternateContent>
      </w:r>
      <w:r w:rsidRPr="003D43A9">
        <w:rPr>
          <w:rFonts w:ascii="Tahoma" w:hAnsi="Tahoma" w:cs="Tahoma"/>
          <w:noProof/>
          <w:sz w:val="20"/>
          <w:lang w:eastAsia="pl-PL"/>
        </w:rPr>
        <mc:AlternateContent>
          <mc:Choice Requires="wps">
            <w:drawing>
              <wp:anchor distT="0" distB="0" distL="0" distR="0" simplePos="0" relativeHeight="251660288" behindDoc="0" locked="0" layoutInCell="0" allowOverlap="1" wp14:anchorId="0033BE4A" wp14:editId="5C17C15F">
                <wp:simplePos x="0" y="0"/>
                <wp:positionH relativeFrom="page">
                  <wp:posOffset>0</wp:posOffset>
                </wp:positionH>
                <wp:positionV relativeFrom="page">
                  <wp:posOffset>8486140</wp:posOffset>
                </wp:positionV>
                <wp:extent cx="635" cy="635"/>
                <wp:effectExtent l="0" t="0" r="0" b="0"/>
                <wp:wrapNone/>
                <wp:docPr id="4" name="Line 9"/>
                <wp:cNvGraphicFramePr/>
                <a:graphic xmlns:a="http://schemas.openxmlformats.org/drawingml/2006/main">
                  <a:graphicData uri="http://schemas.microsoft.com/office/word/2010/wordprocessingShape">
                    <wps:wsp>
                      <wps:cNvCnPr/>
                      <wps:spPr>
                        <a:xfrm>
                          <a:off x="0" y="0"/>
                          <a:ext cx="720" cy="720"/>
                        </a:xfrm>
                        <a:prstGeom prst="line">
                          <a:avLst/>
                        </a:prstGeom>
                        <a:ln w="0">
                          <a:solidFill>
                            <a:srgbClr val="C3C3C3"/>
                          </a:solidFill>
                        </a:ln>
                      </wps:spPr>
                      <wps:style>
                        <a:lnRef idx="0">
                          <a:scrgbClr r="0" g="0" b="0"/>
                        </a:lnRef>
                        <a:fillRef idx="0">
                          <a:scrgbClr r="0" g="0" b="0"/>
                        </a:fillRef>
                        <a:effectRef idx="0">
                          <a:scrgbClr r="0" g="0" b="0"/>
                        </a:effectRef>
                        <a:fontRef idx="minor"/>
                      </wps:style>
                      <wps:bodyPr/>
                    </wps:wsp>
                  </a:graphicData>
                </a:graphic>
              </wp:anchor>
            </w:drawing>
          </mc:Choice>
          <mc:Fallback>
            <w:pict>
              <v:line w14:anchorId="5FDC3167" id="Line 9" o:spid="_x0000_s1026" style="position:absolute;z-index:251660288;visibility:visible;mso-wrap-style:square;mso-wrap-distance-left:0;mso-wrap-distance-top:0;mso-wrap-distance-right:0;mso-wrap-distance-bottom:0;mso-position-horizontal:absolute;mso-position-horizontal-relative:page;mso-position-vertical:absolute;mso-position-vertical-relative:page" from="0,668.2pt" to=".05pt,66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" o:allowincell="f" strokecolor="#c3c3c3" strokeweight="0">
                <w10:wrap anchorx="page" anchory="page"/>
              </v:line>
            </w:pict>
          </mc:Fallback>
        </mc:AlternateContent>
      </w:r>
      <w:r w:rsidRPr="003D43A9">
        <w:rPr>
          <w:rFonts w:ascii="Tahoma" w:hAnsi="Tahoma" w:cs="Tahoma"/>
          <w:szCs w:val="24"/>
        </w:rPr>
        <w:t>Fundacja Dobrej Muzyki ul. Sikorskiego 15 / 4 58-100 Świdnica.</w:t>
      </w:r>
    </w:p>
    <w:p w:rsidR="003D43A9" w:rsidRPr="003D43A9" w:rsidRDefault="003D43A9" w:rsidP="003D43A9">
      <w:pPr>
        <w:pStyle w:val="Akapitzlist"/>
        <w:numPr>
          <w:ilvl w:val="0"/>
          <w:numId w:val="5"/>
        </w:numPr>
        <w:jc w:val="both"/>
        <w:rPr>
          <w:rFonts w:ascii="Tahoma" w:hAnsi="Tahoma" w:cs="Tahoma"/>
          <w:szCs w:val="24"/>
        </w:rPr>
      </w:pPr>
      <w:r w:rsidRPr="003D43A9">
        <w:rPr>
          <w:rFonts w:ascii="Tahoma" w:hAnsi="Tahoma" w:cs="Tahoma"/>
          <w:szCs w:val="24"/>
        </w:rPr>
        <w:t>Stowarzyszenie Artystów Polskich ul. Berka Joselewicza 18 lok. 14 31-051 Kraków.</w:t>
      </w:r>
    </w:p>
    <w:p w:rsidR="003D43A9" w:rsidRPr="003D43A9" w:rsidRDefault="003D43A9" w:rsidP="003D43A9">
      <w:pPr>
        <w:pStyle w:val="Akapitzlist"/>
        <w:numPr>
          <w:ilvl w:val="0"/>
          <w:numId w:val="5"/>
        </w:numPr>
        <w:jc w:val="both"/>
        <w:rPr>
          <w:rFonts w:ascii="Tahoma" w:hAnsi="Tahoma" w:cs="Tahoma"/>
          <w:szCs w:val="24"/>
        </w:rPr>
      </w:pPr>
      <w:r w:rsidRPr="003D43A9">
        <w:rPr>
          <w:rFonts w:ascii="Tahoma" w:hAnsi="Tahoma" w:cs="Tahoma"/>
          <w:szCs w:val="24"/>
        </w:rPr>
        <w:t>Fundacja Music Export Poland ul. Senatorska 2 00-075 Warszawa.</w:t>
      </w:r>
    </w:p>
    <w:p w:rsidR="003D43A9" w:rsidRPr="003D43A9" w:rsidRDefault="003D43A9" w:rsidP="003D43A9">
      <w:pPr>
        <w:pStyle w:val="Akapitzlist"/>
        <w:numPr>
          <w:ilvl w:val="0"/>
          <w:numId w:val="5"/>
        </w:numPr>
        <w:jc w:val="both"/>
        <w:rPr>
          <w:rFonts w:ascii="Tahoma" w:hAnsi="Tahoma" w:cs="Tahoma"/>
          <w:szCs w:val="24"/>
        </w:rPr>
      </w:pPr>
      <w:r w:rsidRPr="003D43A9">
        <w:rPr>
          <w:rFonts w:ascii="Tahoma" w:hAnsi="Tahoma" w:cs="Tahoma"/>
          <w:szCs w:val="24"/>
        </w:rPr>
        <w:t>Związek Kompozytorów Polskich ul. Pl. Jana Pawła II nr 2 50-043 Wrocław.</w:t>
      </w:r>
    </w:p>
    <w:p w:rsidR="003D43A9" w:rsidRPr="003D43A9" w:rsidRDefault="003D43A9" w:rsidP="003D43A9">
      <w:pPr>
        <w:pStyle w:val="Akapitzlist"/>
        <w:numPr>
          <w:ilvl w:val="0"/>
          <w:numId w:val="5"/>
        </w:numPr>
        <w:jc w:val="both"/>
        <w:rPr>
          <w:rFonts w:ascii="Tahoma" w:hAnsi="Tahoma" w:cs="Tahoma"/>
          <w:szCs w:val="24"/>
        </w:rPr>
      </w:pPr>
      <w:r w:rsidRPr="003D43A9">
        <w:rPr>
          <w:rFonts w:ascii="Tahoma" w:hAnsi="Tahoma" w:cs="Tahoma"/>
          <w:szCs w:val="24"/>
        </w:rPr>
        <w:t>Związek Kompozytorów Polskich ul. Rynek Starego Miasta nr 27 00-272 Warszawa.</w:t>
      </w:r>
    </w:p>
    <w:p w:rsidR="003D43A9" w:rsidRPr="003D43A9" w:rsidRDefault="003D43A9" w:rsidP="003D43A9">
      <w:pPr>
        <w:pStyle w:val="Akapitzlist"/>
        <w:numPr>
          <w:ilvl w:val="0"/>
          <w:numId w:val="5"/>
        </w:numPr>
        <w:jc w:val="both"/>
        <w:rPr>
          <w:rFonts w:ascii="Tahoma" w:hAnsi="Tahoma" w:cs="Tahoma"/>
          <w:szCs w:val="24"/>
        </w:rPr>
      </w:pPr>
      <w:proofErr w:type="spellStart"/>
      <w:r w:rsidRPr="003D43A9">
        <w:rPr>
          <w:rFonts w:ascii="Tahoma" w:hAnsi="Tahoma" w:cs="Tahoma"/>
          <w:szCs w:val="24"/>
        </w:rPr>
        <w:t>lzba</w:t>
      </w:r>
      <w:proofErr w:type="spellEnd"/>
      <w:r w:rsidRPr="003D43A9">
        <w:rPr>
          <w:rFonts w:ascii="Tahoma" w:hAnsi="Tahoma" w:cs="Tahoma"/>
          <w:szCs w:val="24"/>
        </w:rPr>
        <w:t xml:space="preserve"> Gospodarcza Menedżerów Artystów Polskich ul. Obrońców 2B 03-933 Warszawa.</w:t>
      </w:r>
    </w:p>
    <w:p w:rsidR="003D43A9" w:rsidRPr="003D43A9" w:rsidRDefault="003D43A9" w:rsidP="003D43A9">
      <w:pPr>
        <w:pStyle w:val="Akapitzlist"/>
        <w:numPr>
          <w:ilvl w:val="0"/>
          <w:numId w:val="5"/>
        </w:numPr>
        <w:jc w:val="both"/>
        <w:rPr>
          <w:rFonts w:ascii="Tahoma" w:hAnsi="Tahoma" w:cs="Tahoma"/>
          <w:szCs w:val="24"/>
        </w:rPr>
      </w:pPr>
      <w:r w:rsidRPr="003D43A9">
        <w:rPr>
          <w:rFonts w:ascii="Tahoma" w:hAnsi="Tahoma" w:cs="Tahoma"/>
          <w:szCs w:val="24"/>
        </w:rPr>
        <w:t>Stowarzyszenie Dolnośląskie Towarzystwo Muzyczne ul. Maślicka 8A 54-107 Wrocław.</w:t>
      </w:r>
    </w:p>
    <w:p w:rsidR="003D43A9" w:rsidRPr="003D43A9" w:rsidRDefault="003D43A9" w:rsidP="003D43A9">
      <w:pPr>
        <w:pStyle w:val="Akapitzlist"/>
        <w:numPr>
          <w:ilvl w:val="0"/>
          <w:numId w:val="5"/>
        </w:numPr>
        <w:jc w:val="both"/>
        <w:rPr>
          <w:rFonts w:ascii="Tahoma" w:hAnsi="Tahoma" w:cs="Tahoma"/>
          <w:szCs w:val="24"/>
        </w:rPr>
      </w:pPr>
      <w:r w:rsidRPr="003D43A9">
        <w:rPr>
          <w:rFonts w:ascii="Tahoma" w:hAnsi="Tahoma" w:cs="Tahoma"/>
          <w:szCs w:val="24"/>
        </w:rPr>
        <w:t>Polskie Stowarzyszenie Jazzowe Wrocław ul. Świdnicka 37 50-029 Wrocław.</w:t>
      </w:r>
    </w:p>
    <w:p w:rsidR="003D43A9" w:rsidRPr="003D43A9" w:rsidRDefault="003D43A9" w:rsidP="003D43A9">
      <w:pPr>
        <w:pStyle w:val="Akapitzlist"/>
        <w:numPr>
          <w:ilvl w:val="0"/>
          <w:numId w:val="5"/>
        </w:numPr>
        <w:jc w:val="both"/>
        <w:rPr>
          <w:rFonts w:ascii="Tahoma" w:hAnsi="Tahoma" w:cs="Tahoma"/>
          <w:szCs w:val="24"/>
        </w:rPr>
      </w:pPr>
      <w:r w:rsidRPr="003D43A9">
        <w:rPr>
          <w:rFonts w:ascii="Tahoma" w:hAnsi="Tahoma" w:cs="Tahoma"/>
          <w:szCs w:val="24"/>
        </w:rPr>
        <w:t>Towarzystwo im. Fryderyka Chopina ul. Tamka 43 00-355 Warszawa.</w:t>
      </w:r>
    </w:p>
    <w:p w:rsidR="003D43A9" w:rsidRPr="003D43A9" w:rsidRDefault="003D43A9" w:rsidP="003D43A9">
      <w:pPr>
        <w:pStyle w:val="Akapitzlist"/>
        <w:numPr>
          <w:ilvl w:val="0"/>
          <w:numId w:val="5"/>
        </w:numPr>
        <w:jc w:val="both"/>
        <w:rPr>
          <w:rFonts w:ascii="Tahoma" w:hAnsi="Tahoma" w:cs="Tahoma"/>
          <w:szCs w:val="24"/>
        </w:rPr>
      </w:pPr>
      <w:r w:rsidRPr="003D43A9">
        <w:rPr>
          <w:rFonts w:ascii="Tahoma" w:hAnsi="Tahoma" w:cs="Tahoma"/>
          <w:szCs w:val="24"/>
        </w:rPr>
        <w:t>Lubińskie Stowarzyszenie Twórców Kultury al. Komisji Edukacji Narodowej 6A 59-300 Lubin.</w:t>
      </w:r>
    </w:p>
    <w:p w:rsidR="003D43A9" w:rsidRPr="003D43A9" w:rsidRDefault="003D43A9" w:rsidP="003D43A9">
      <w:pPr>
        <w:pStyle w:val="Akapitzlist"/>
        <w:numPr>
          <w:ilvl w:val="0"/>
          <w:numId w:val="5"/>
        </w:numPr>
        <w:jc w:val="both"/>
        <w:rPr>
          <w:rFonts w:ascii="Tahoma" w:hAnsi="Tahoma" w:cs="Tahoma"/>
          <w:szCs w:val="24"/>
        </w:rPr>
      </w:pPr>
      <w:r w:rsidRPr="003D43A9">
        <w:rPr>
          <w:rFonts w:ascii="Tahoma" w:hAnsi="Tahoma" w:cs="Tahoma"/>
          <w:szCs w:val="24"/>
        </w:rPr>
        <w:t>Stowarzyszenie ,,Lubin i Okolice" ul. Tadeusza Kościuszki 12 59-300 Lubin.</w:t>
      </w:r>
    </w:p>
    <w:p w:rsidR="003D43A9" w:rsidRPr="003D43A9" w:rsidRDefault="003D43A9" w:rsidP="003D43A9">
      <w:pPr>
        <w:jc w:val="both"/>
        <w:rPr>
          <w:rFonts w:ascii="Tahoma" w:hAnsi="Tahoma" w:cs="Tahoma"/>
          <w:szCs w:val="24"/>
        </w:rPr>
      </w:pPr>
    </w:p>
    <w:p w:rsidR="003D43A9" w:rsidRPr="003D43A9" w:rsidRDefault="003D43A9" w:rsidP="003D43A9">
      <w:pPr>
        <w:jc w:val="both"/>
        <w:rPr>
          <w:rFonts w:ascii="Tahoma" w:hAnsi="Tahoma" w:cs="Tahoma"/>
          <w:szCs w:val="24"/>
        </w:rPr>
      </w:pPr>
      <w:r w:rsidRPr="003D43A9">
        <w:rPr>
          <w:rFonts w:ascii="Tahoma" w:hAnsi="Tahoma" w:cs="Tahoma"/>
          <w:szCs w:val="24"/>
        </w:rPr>
        <w:t xml:space="preserve">Powyższe stowarzyszenia zawodowe i twórcze Prezydent Miasta Lubina ustalił na podstawie ewidencji stowarzyszeń prowadzonej przez Starostę Lubińskiego oraz na podstawie pisma Wojewody Dolnośląskiego z dnia 13 stycznia 2023 r. znak NK-N.4131.70.10.2022.MF. </w:t>
      </w:r>
    </w:p>
    <w:p w:rsidR="003D43A9" w:rsidRPr="003D43A9" w:rsidRDefault="003D43A9" w:rsidP="003D43A9">
      <w:pPr>
        <w:jc w:val="both"/>
        <w:rPr>
          <w:rFonts w:ascii="Tahoma" w:hAnsi="Tahoma" w:cs="Tahoma"/>
          <w:szCs w:val="24"/>
        </w:rPr>
      </w:pPr>
      <w:r w:rsidRPr="003D43A9">
        <w:rPr>
          <w:rFonts w:ascii="Tahoma" w:hAnsi="Tahoma" w:cs="Tahoma"/>
          <w:szCs w:val="24"/>
        </w:rPr>
        <w:t xml:space="preserve">Prośby o wydanie opinii zostały odebrane przez 13 </w:t>
      </w:r>
      <w:proofErr w:type="spellStart"/>
      <w:r w:rsidRPr="003D43A9">
        <w:rPr>
          <w:rFonts w:ascii="Tahoma" w:hAnsi="Tahoma" w:cs="Tahoma"/>
          <w:szCs w:val="24"/>
        </w:rPr>
        <w:t>ww</w:t>
      </w:r>
      <w:proofErr w:type="spellEnd"/>
      <w:r w:rsidRPr="003D43A9">
        <w:rPr>
          <w:rFonts w:ascii="Tahoma" w:hAnsi="Tahoma" w:cs="Tahoma"/>
          <w:szCs w:val="24"/>
        </w:rPr>
        <w:t xml:space="preserve"> podmiotów (bez poz. 5). Opinie przesłało 7 podmiotów (poz. 2, 4, 8, 10, 11, 13 i 14).</w:t>
      </w:r>
    </w:p>
    <w:p w:rsidR="003D43A9" w:rsidRPr="003D43A9" w:rsidRDefault="003D43A9" w:rsidP="003D43A9">
      <w:pPr>
        <w:jc w:val="both"/>
        <w:rPr>
          <w:rFonts w:ascii="Tahoma" w:hAnsi="Tahoma" w:cs="Tahoma"/>
          <w:szCs w:val="24"/>
        </w:rPr>
      </w:pPr>
      <w:r w:rsidRPr="003D43A9">
        <w:rPr>
          <w:rFonts w:ascii="Tahoma" w:hAnsi="Tahoma" w:cs="Tahoma"/>
          <w:szCs w:val="24"/>
        </w:rPr>
        <w:t xml:space="preserve">Nie było opinii wprost negatywnych co do odwołania Pana Mariusza Dziubka. W opiniach, które nie wskazywały na aprobaty lub sprzeciw co do odwołania dyrektora wskazywano </w:t>
      </w:r>
      <w:r w:rsidRPr="003D43A9">
        <w:rPr>
          <w:rFonts w:ascii="Tahoma" w:hAnsi="Tahoma" w:cs="Tahoma"/>
          <w:szCs w:val="24"/>
        </w:rPr>
        <w:br/>
        <w:t>na profesjonalne podejście dyrektora przy organizacji wielu przedsięwzięć zaznaczając jednocześnie, iż nie są w stanie ocenić stawianych dyrektorowi zarzutów dotyczących złamania przepisów prawa.</w:t>
      </w:r>
    </w:p>
    <w:p w:rsidR="003D43A9" w:rsidRPr="003D43A9" w:rsidRDefault="003D43A9" w:rsidP="003D43A9">
      <w:pPr>
        <w:jc w:val="both"/>
        <w:rPr>
          <w:rFonts w:ascii="Tahoma" w:hAnsi="Tahoma" w:cs="Tahoma"/>
          <w:szCs w:val="24"/>
        </w:rPr>
      </w:pPr>
      <w:r w:rsidRPr="003D43A9">
        <w:rPr>
          <w:rFonts w:ascii="Tahoma" w:hAnsi="Tahoma" w:cs="Tahoma"/>
          <w:szCs w:val="24"/>
        </w:rPr>
        <w:t>Dwie opinie wskazują na brak współpracy z Panem M. Dziubkiem i w związku z tym niemożność wydania opinii. Dwie opinie są pozytywne.</w:t>
      </w:r>
    </w:p>
    <w:p w:rsidR="003D43A9" w:rsidRPr="003D43A9" w:rsidRDefault="003D43A9" w:rsidP="003D43A9">
      <w:pPr>
        <w:jc w:val="both"/>
        <w:rPr>
          <w:rFonts w:ascii="Tahoma" w:hAnsi="Tahoma" w:cs="Tahoma"/>
          <w:szCs w:val="24"/>
        </w:rPr>
      </w:pPr>
      <w:r w:rsidRPr="003D43A9">
        <w:rPr>
          <w:rFonts w:ascii="Tahoma" w:hAnsi="Tahoma" w:cs="Tahoma"/>
          <w:szCs w:val="24"/>
        </w:rPr>
        <w:t>Prezydent Miasta Lubina ustalił, że w NOD nie działają związki zawodowe.</w:t>
      </w:r>
    </w:p>
    <w:p w:rsidR="003D43A9" w:rsidRPr="003D43A9" w:rsidRDefault="003D43A9" w:rsidP="003D43A9">
      <w:pPr>
        <w:jc w:val="both"/>
        <w:rPr>
          <w:rFonts w:ascii="Tahoma" w:hAnsi="Tahoma" w:cs="Tahoma"/>
          <w:b/>
          <w:szCs w:val="24"/>
        </w:rPr>
      </w:pPr>
      <w:r w:rsidRPr="003D43A9">
        <w:rPr>
          <w:rFonts w:ascii="Tahoma" w:hAnsi="Tahoma" w:cs="Tahoma"/>
          <w:szCs w:val="24"/>
        </w:rPr>
        <w:t xml:space="preserve">Zgodnie z art. 15 ust. 6 pkt 3 ustawy z dnia 25 października 1991 roku o organizowaniu </w:t>
      </w:r>
      <w:r w:rsidRPr="003D43A9">
        <w:rPr>
          <w:rFonts w:ascii="Tahoma" w:hAnsi="Tahoma" w:cs="Tahoma"/>
          <w:szCs w:val="24"/>
        </w:rPr>
        <w:br/>
        <w:t>i prowadzeniu działalności kulturalnej Dyrektora instytucji kultury powołanego na czas określony można odwołać przed upływem tego okresu</w:t>
      </w:r>
      <w:r w:rsidRPr="003D43A9">
        <w:rPr>
          <w:rFonts w:ascii="Tahoma" w:hAnsi="Tahoma" w:cs="Tahoma"/>
          <w:b/>
          <w:szCs w:val="24"/>
        </w:rPr>
        <w:t xml:space="preserve"> z powodu naruszenia przepisów prawa w związku z zajmowanym stanowiskiem.</w:t>
      </w:r>
    </w:p>
    <w:p w:rsidR="003D43A9" w:rsidRPr="003D43A9" w:rsidRDefault="003D43A9" w:rsidP="003D43A9">
      <w:pPr>
        <w:jc w:val="both"/>
        <w:rPr>
          <w:rFonts w:ascii="Tahoma" w:hAnsi="Tahoma" w:cs="Tahoma"/>
          <w:szCs w:val="24"/>
        </w:rPr>
      </w:pPr>
      <w:r w:rsidRPr="003D43A9">
        <w:rPr>
          <w:rFonts w:ascii="Tahoma" w:hAnsi="Tahoma" w:cs="Tahoma"/>
          <w:szCs w:val="24"/>
        </w:rPr>
        <w:t xml:space="preserve">W ocenie Prezydenta Miasta Lubina Pan Mariusz Dziubek naruszył przepisy prawa w związku </w:t>
      </w:r>
      <w:r w:rsidR="00154233">
        <w:rPr>
          <w:rFonts w:ascii="Tahoma" w:hAnsi="Tahoma" w:cs="Tahoma"/>
          <w:szCs w:val="24"/>
        </w:rPr>
        <w:br/>
      </w:r>
      <w:r w:rsidRPr="003D43A9">
        <w:rPr>
          <w:rFonts w:ascii="Tahoma" w:hAnsi="Tahoma" w:cs="Tahoma"/>
          <w:szCs w:val="24"/>
        </w:rPr>
        <w:t>z zajmowanym stanowiskiem.</w:t>
      </w:r>
    </w:p>
    <w:p w:rsidR="003D43A9" w:rsidRPr="003D43A9" w:rsidRDefault="003D43A9" w:rsidP="003D43A9">
      <w:pPr>
        <w:jc w:val="both"/>
        <w:rPr>
          <w:rFonts w:ascii="Tahoma" w:hAnsi="Tahoma" w:cs="Tahoma"/>
          <w:szCs w:val="24"/>
        </w:rPr>
      </w:pPr>
      <w:r w:rsidRPr="003D43A9">
        <w:rPr>
          <w:rFonts w:ascii="Tahoma" w:hAnsi="Tahoma" w:cs="Tahoma"/>
          <w:szCs w:val="24"/>
        </w:rPr>
        <w:t xml:space="preserve">Ocena ta wynika z ustaleń będących wynikiem przeprowadzonej przez audytora Urzędu Miejskiego w Lubinie w okresie 18.01-31.01.2023 r. kontroli działalności NOD, która wykazała naruszenia bezwzględnie obowiązujących przepisów prawa przez Pana Mariusza Dziubka </w:t>
      </w:r>
      <w:r w:rsidR="00154233">
        <w:rPr>
          <w:rFonts w:ascii="Tahoma" w:hAnsi="Tahoma" w:cs="Tahoma"/>
          <w:szCs w:val="24"/>
        </w:rPr>
        <w:br/>
      </w:r>
      <w:r w:rsidRPr="003D43A9">
        <w:rPr>
          <w:rFonts w:ascii="Tahoma" w:hAnsi="Tahoma" w:cs="Tahoma"/>
          <w:szCs w:val="24"/>
        </w:rPr>
        <w:t>w związku z zajmowanym przez niego stanowiskiem Dyrektora NOD, tj. m.in.:</w:t>
      </w:r>
    </w:p>
    <w:p w:rsidR="003D43A9" w:rsidRPr="003D43A9" w:rsidRDefault="003D43A9" w:rsidP="003D43A9">
      <w:pPr>
        <w:jc w:val="both"/>
        <w:rPr>
          <w:rFonts w:ascii="Tahoma" w:hAnsi="Tahoma" w:cs="Tahoma"/>
          <w:szCs w:val="24"/>
        </w:rPr>
      </w:pPr>
    </w:p>
    <w:p w:rsidR="003D43A9" w:rsidRPr="003D43A9" w:rsidRDefault="003D43A9" w:rsidP="003D43A9">
      <w:pPr>
        <w:pStyle w:val="Akapitzlist"/>
        <w:numPr>
          <w:ilvl w:val="0"/>
          <w:numId w:val="6"/>
        </w:numPr>
        <w:jc w:val="both"/>
        <w:rPr>
          <w:rFonts w:ascii="Tahoma" w:hAnsi="Tahoma" w:cs="Tahoma"/>
          <w:szCs w:val="24"/>
        </w:rPr>
      </w:pPr>
      <w:r w:rsidRPr="003D43A9">
        <w:rPr>
          <w:rFonts w:ascii="Tahoma" w:hAnsi="Tahoma" w:cs="Tahoma"/>
          <w:szCs w:val="24"/>
        </w:rPr>
        <w:t xml:space="preserve">W trakcie badania kontrolujący ustalił, że w NOD </w:t>
      </w:r>
      <w:r w:rsidRPr="003D43A9">
        <w:rPr>
          <w:rFonts w:ascii="Tahoma" w:hAnsi="Tahoma" w:cs="Tahoma"/>
          <w:b/>
          <w:szCs w:val="24"/>
        </w:rPr>
        <w:t xml:space="preserve">od początku istnienia jednostki </w:t>
      </w:r>
      <w:r w:rsidRPr="003D43A9">
        <w:rPr>
          <w:rFonts w:ascii="Tahoma" w:hAnsi="Tahoma" w:cs="Tahoma"/>
          <w:szCs w:val="24"/>
        </w:rPr>
        <w:br/>
        <w:t>nie zostały, przyjęte przez Dyrektora (wprowadzone Zarządzeniem) jednostki zasady (polityka) rachunkowości oraz dodatkowo brakuje w jednostce innej kluczowej procedury związanej z właściwym i skutecznym prowadzeniem rachunkowości w jednostce - instrukcji obiegu i kontroli dokumentów finansowo - księgowych.</w:t>
      </w:r>
    </w:p>
    <w:p w:rsidR="003D43A9" w:rsidRPr="003D43A9" w:rsidRDefault="003D43A9" w:rsidP="003D43A9">
      <w:pPr>
        <w:ind w:left="360"/>
        <w:jc w:val="both"/>
        <w:rPr>
          <w:rFonts w:ascii="Tahoma" w:hAnsi="Tahoma" w:cs="Tahoma"/>
          <w:szCs w:val="24"/>
        </w:rPr>
      </w:pPr>
      <w:r w:rsidRPr="003D43A9">
        <w:rPr>
          <w:rFonts w:ascii="Tahoma" w:hAnsi="Tahoma" w:cs="Tahoma"/>
          <w:b/>
          <w:szCs w:val="24"/>
        </w:rPr>
        <w:t xml:space="preserve">NOD nie posiadała ustalonej w formie pisemnej przez kierownika jednostki wymaganej dokumentacji określającej zasady rachunkowości i zasady prowadzenia ksiąg rachunkowych. Stanowi to naruszenie art. 4 ust. 1 i ust. 3 pkt 1, art. 10 ust. 2 ustawy o rachunkowości. </w:t>
      </w:r>
      <w:r w:rsidRPr="003D43A9">
        <w:rPr>
          <w:rFonts w:ascii="Tahoma" w:hAnsi="Tahoma" w:cs="Tahoma"/>
          <w:szCs w:val="24"/>
        </w:rPr>
        <w:t xml:space="preserve">Zgodnie z art. 4 ust. 1 ustawy </w:t>
      </w:r>
      <w:r w:rsidR="00154233">
        <w:rPr>
          <w:rFonts w:ascii="Tahoma" w:hAnsi="Tahoma" w:cs="Tahoma"/>
          <w:szCs w:val="24"/>
        </w:rPr>
        <w:br/>
      </w:r>
      <w:r w:rsidRPr="003D43A9">
        <w:rPr>
          <w:rFonts w:ascii="Tahoma" w:hAnsi="Tahoma" w:cs="Tahoma"/>
          <w:szCs w:val="24"/>
        </w:rPr>
        <w:t>o rachunkowości jednostki obowiązane są stosować przyjęte zasady (politykę) rachunkowości, rzetelnie i jasno przedstawiać sytuację majątkową i finansową oraz wynik finansowy. Zgodnie z art. 4</w:t>
      </w:r>
      <w:r w:rsidR="00154233">
        <w:rPr>
          <w:rFonts w:ascii="Tahoma" w:hAnsi="Tahoma" w:cs="Tahoma"/>
          <w:szCs w:val="24"/>
        </w:rPr>
        <w:t xml:space="preserve"> </w:t>
      </w:r>
      <w:r w:rsidRPr="003D43A9">
        <w:rPr>
          <w:rFonts w:ascii="Tahoma" w:hAnsi="Tahoma" w:cs="Tahoma"/>
          <w:szCs w:val="24"/>
        </w:rPr>
        <w:t>ust. 3 pkt 1 rachunkowość jednostki obejmuje: przyjęte zasady (politykę) rachunkowości. Jak stanowi art. 10 ust. 2 ustawy o rachunkowości kierownik jednostki ustala w formie pisemnej i aktualizuje dokumentację, o której mowa w ust. 1 (politykę rachunkowości).</w:t>
      </w:r>
    </w:p>
    <w:p w:rsidR="003D43A9" w:rsidRPr="003D43A9" w:rsidRDefault="003D43A9" w:rsidP="003D43A9">
      <w:pPr>
        <w:pStyle w:val="Akapitzlist"/>
        <w:numPr>
          <w:ilvl w:val="0"/>
          <w:numId w:val="6"/>
        </w:numPr>
        <w:jc w:val="both"/>
        <w:rPr>
          <w:rFonts w:ascii="Tahoma" w:hAnsi="Tahoma" w:cs="Tahoma"/>
          <w:szCs w:val="24"/>
        </w:rPr>
      </w:pPr>
      <w:r w:rsidRPr="003D43A9">
        <w:rPr>
          <w:rFonts w:ascii="Tahoma" w:hAnsi="Tahoma" w:cs="Tahoma"/>
          <w:szCs w:val="24"/>
        </w:rPr>
        <w:t xml:space="preserve">W trakcie kontroli ujawniono, że w jednostce do dnia 31.07.2022 r. nie prowadzono ksiąg rachunkowych ujmujących na podstawie dowodów księgowych zapisów zdarzeń </w:t>
      </w:r>
      <w:r w:rsidRPr="003D43A9">
        <w:rPr>
          <w:rFonts w:ascii="Tahoma" w:hAnsi="Tahoma" w:cs="Tahoma"/>
          <w:szCs w:val="24"/>
        </w:rPr>
        <w:br/>
        <w:t xml:space="preserve">w porządku chronologicznym i systematycznym. Do prowadzenia ksiąg rachunkowych kontrolowana jednostka zakupiła program finansowo - księgowy </w:t>
      </w:r>
      <w:proofErr w:type="spellStart"/>
      <w:r w:rsidRPr="003D43A9">
        <w:rPr>
          <w:rFonts w:ascii="Tahoma" w:hAnsi="Tahoma" w:cs="Tahoma"/>
          <w:szCs w:val="24"/>
        </w:rPr>
        <w:t>enova</w:t>
      </w:r>
      <w:proofErr w:type="spellEnd"/>
      <w:r w:rsidRPr="003D43A9">
        <w:rPr>
          <w:rFonts w:ascii="Tahoma" w:hAnsi="Tahoma" w:cs="Tahoma"/>
          <w:szCs w:val="24"/>
        </w:rPr>
        <w:t xml:space="preserve"> 365 dla biznesu, natomiast w programie tym do 31 lipca nie były dokonywane zapisy. W jednostce prowadzono jedynie zestawienie wydatków w programie Excel. Ponadto w okresie </w:t>
      </w:r>
      <w:r w:rsidRPr="003D43A9">
        <w:rPr>
          <w:rFonts w:ascii="Tahoma" w:hAnsi="Tahoma" w:cs="Tahoma"/>
          <w:szCs w:val="24"/>
        </w:rPr>
        <w:br/>
        <w:t>do dnia 31.07.2022 r. brak było również prowadzenia ewidencji majątku, brak dokumentów OT, tabel amortyzacyjnych.</w:t>
      </w:r>
    </w:p>
    <w:p w:rsidR="003D43A9" w:rsidRPr="003D43A9" w:rsidRDefault="003D43A9" w:rsidP="003D43A9">
      <w:pPr>
        <w:ind w:left="360"/>
        <w:jc w:val="both"/>
        <w:rPr>
          <w:rFonts w:ascii="Tahoma" w:hAnsi="Tahoma" w:cs="Tahoma"/>
          <w:szCs w:val="24"/>
        </w:rPr>
      </w:pPr>
      <w:r w:rsidRPr="003D43A9">
        <w:rPr>
          <w:rFonts w:ascii="Tahoma" w:hAnsi="Tahoma" w:cs="Tahoma"/>
          <w:szCs w:val="24"/>
        </w:rPr>
        <w:t xml:space="preserve">Ponadto w związku z brakiem prowadzenia ksiąg rachunkowych w kontrolowanej jednostce na koniec każdego okresu sprawozdawczego (od początku istnienia jednostki </w:t>
      </w:r>
      <w:r w:rsidRPr="003D43A9">
        <w:rPr>
          <w:rFonts w:ascii="Tahoma" w:hAnsi="Tahoma" w:cs="Tahoma"/>
          <w:szCs w:val="24"/>
        </w:rPr>
        <w:br/>
        <w:t>do końca lipca 2022 r.) nie było sporządzane zestawienie obrotów i sald.</w:t>
      </w:r>
    </w:p>
    <w:p w:rsidR="003D43A9" w:rsidRPr="003D43A9" w:rsidRDefault="003D43A9" w:rsidP="003D43A9">
      <w:pPr>
        <w:ind w:left="360"/>
        <w:jc w:val="both"/>
        <w:rPr>
          <w:rFonts w:ascii="Tahoma" w:hAnsi="Tahoma" w:cs="Tahoma"/>
          <w:szCs w:val="24"/>
        </w:rPr>
      </w:pPr>
      <w:r w:rsidRPr="003D43A9">
        <w:rPr>
          <w:rFonts w:ascii="Tahoma" w:hAnsi="Tahoma" w:cs="Tahoma"/>
          <w:b/>
          <w:szCs w:val="24"/>
        </w:rPr>
        <w:t xml:space="preserve">Brak prowadzenia w NOD, na podstawie dowodów księgowych, ksiąg rachunkowych, ujmujących zapisy zdarzeń w porządku chronologicznym </w:t>
      </w:r>
      <w:r w:rsidR="006E16BA">
        <w:rPr>
          <w:rFonts w:ascii="Tahoma" w:hAnsi="Tahoma" w:cs="Tahoma"/>
          <w:b/>
          <w:szCs w:val="24"/>
        </w:rPr>
        <w:br/>
      </w:r>
      <w:r w:rsidRPr="003D43A9">
        <w:rPr>
          <w:rFonts w:ascii="Tahoma" w:hAnsi="Tahoma" w:cs="Tahoma"/>
          <w:b/>
          <w:szCs w:val="24"/>
        </w:rPr>
        <w:t xml:space="preserve">i systematycznym w roku 2022 (do dnia 31 lipca 2022 r.), jak również w okresie wcześniejszym. Stanowi to naruszenie art. 4 ust. 3 pkt 2 i art. 13 ust. 1 ustawy o rachunkowości. </w:t>
      </w:r>
      <w:r w:rsidRPr="003D43A9">
        <w:rPr>
          <w:rFonts w:ascii="Tahoma" w:hAnsi="Tahoma" w:cs="Tahoma"/>
          <w:szCs w:val="24"/>
        </w:rPr>
        <w:t xml:space="preserve">(Zgodnie z art. 4 ust. 3 pkt 2 ustawy o rachunkowości rachunkowość jednostki obejmuje: prowadzenie, na podstawie dowodów księgowych, ksiąg rachunkowych, ujmujących zapisy zdarzeń w  porządku  chronologicznym </w:t>
      </w:r>
      <w:r w:rsidR="006E16BA">
        <w:rPr>
          <w:rFonts w:ascii="Tahoma" w:hAnsi="Tahoma" w:cs="Tahoma"/>
          <w:szCs w:val="24"/>
        </w:rPr>
        <w:br/>
      </w:r>
      <w:r w:rsidRPr="003D43A9">
        <w:rPr>
          <w:rFonts w:ascii="Tahoma" w:hAnsi="Tahoma" w:cs="Tahoma"/>
          <w:szCs w:val="24"/>
        </w:rPr>
        <w:t>i systematycznym. Zgodnie  z art. 13  ust.  1 ustawy o rachunkowości księgi rachunkowe obejmują zbiory zapisów księgowych, obrotów</w:t>
      </w:r>
      <w:r w:rsidR="006E16BA">
        <w:rPr>
          <w:rFonts w:ascii="Tahoma" w:hAnsi="Tahoma" w:cs="Tahoma"/>
          <w:szCs w:val="24"/>
        </w:rPr>
        <w:t xml:space="preserve"> </w:t>
      </w:r>
      <w:r w:rsidRPr="003D43A9">
        <w:rPr>
          <w:rFonts w:ascii="Tahoma" w:hAnsi="Tahoma" w:cs="Tahoma"/>
          <w:szCs w:val="24"/>
        </w:rPr>
        <w:t>(sum zapisów)  i sald, które tworzą:1) dziennik; 2) księgowy  główną; 3) księgi pomocnicze;</w:t>
      </w:r>
    </w:p>
    <w:p w:rsidR="003D43A9" w:rsidRPr="003D43A9" w:rsidRDefault="003D43A9" w:rsidP="003D43A9">
      <w:pPr>
        <w:ind w:left="360"/>
        <w:jc w:val="both"/>
        <w:rPr>
          <w:rFonts w:ascii="Tahoma" w:hAnsi="Tahoma" w:cs="Tahoma"/>
          <w:szCs w:val="24"/>
        </w:rPr>
      </w:pPr>
      <w:r w:rsidRPr="003D43A9">
        <w:rPr>
          <w:rFonts w:ascii="Tahoma" w:hAnsi="Tahoma" w:cs="Tahoma"/>
          <w:szCs w:val="24"/>
        </w:rPr>
        <w:t xml:space="preserve">4) zestawienia: obrotów i sald kont księgi głównej oraz sald kont ksiąg pomocniczych; </w:t>
      </w:r>
      <w:r w:rsidRPr="003D43A9">
        <w:rPr>
          <w:rFonts w:ascii="Tahoma" w:hAnsi="Tahoma" w:cs="Tahoma"/>
          <w:szCs w:val="24"/>
        </w:rPr>
        <w:br/>
        <w:t>5) wykaz składników aktywów i pasywów (inwentarz).</w:t>
      </w:r>
    </w:p>
    <w:p w:rsidR="003D43A9" w:rsidRPr="003D43A9" w:rsidRDefault="003D43A9" w:rsidP="003D43A9">
      <w:pPr>
        <w:ind w:left="360"/>
        <w:jc w:val="both"/>
        <w:rPr>
          <w:rFonts w:ascii="Tahoma" w:hAnsi="Tahoma" w:cs="Tahoma"/>
          <w:szCs w:val="24"/>
        </w:rPr>
      </w:pPr>
      <w:r w:rsidRPr="003D43A9">
        <w:rPr>
          <w:rFonts w:ascii="Tahoma" w:hAnsi="Tahoma" w:cs="Tahoma"/>
          <w:b/>
          <w:szCs w:val="24"/>
        </w:rPr>
        <w:t xml:space="preserve">Brak sporządzania w NOD na podstawie zapisów na kontach księgi głównej </w:t>
      </w:r>
      <w:r w:rsidR="006E16BA">
        <w:rPr>
          <w:rFonts w:ascii="Tahoma" w:hAnsi="Tahoma" w:cs="Tahoma"/>
          <w:b/>
          <w:szCs w:val="24"/>
        </w:rPr>
        <w:br/>
      </w:r>
      <w:r w:rsidRPr="003D43A9">
        <w:rPr>
          <w:rFonts w:ascii="Tahoma" w:hAnsi="Tahoma" w:cs="Tahoma"/>
          <w:b/>
          <w:szCs w:val="24"/>
        </w:rPr>
        <w:t xml:space="preserve">na koniec każdego okresu sprawozdawczego, nie rzadziej niż na koniec miesiąca, zestawienia obrotów i sald - dotyczy okresu od początku istnienia jednostki do 31 lipca 2022 r. Stanowi to naruszenie art. 18 ust. 1 ustawy </w:t>
      </w:r>
      <w:r w:rsidR="006E16BA">
        <w:rPr>
          <w:rFonts w:ascii="Tahoma" w:hAnsi="Tahoma" w:cs="Tahoma"/>
          <w:b/>
          <w:szCs w:val="24"/>
        </w:rPr>
        <w:br/>
      </w:r>
      <w:r w:rsidRPr="003D43A9">
        <w:rPr>
          <w:rFonts w:ascii="Tahoma" w:hAnsi="Tahoma" w:cs="Tahoma"/>
          <w:b/>
          <w:szCs w:val="24"/>
        </w:rPr>
        <w:t xml:space="preserve">o rachunkowości. </w:t>
      </w:r>
      <w:r w:rsidRPr="003D43A9">
        <w:rPr>
          <w:rFonts w:ascii="Tahoma" w:hAnsi="Tahoma" w:cs="Tahoma"/>
          <w:szCs w:val="24"/>
        </w:rPr>
        <w:t>(Zgodnie z art. 18 ust. 1 ustawy o rachunkowości na podstawie zapisów na kontach księgi głównej sporządza się</w:t>
      </w:r>
      <w:r w:rsidR="006E16BA">
        <w:rPr>
          <w:rFonts w:ascii="Tahoma" w:hAnsi="Tahoma" w:cs="Tahoma"/>
          <w:szCs w:val="24"/>
        </w:rPr>
        <w:t xml:space="preserve"> </w:t>
      </w:r>
      <w:r w:rsidRPr="003D43A9">
        <w:rPr>
          <w:rFonts w:ascii="Tahoma" w:hAnsi="Tahoma" w:cs="Tahoma"/>
          <w:szCs w:val="24"/>
        </w:rPr>
        <w:t>na koniec każdego okresu sprawozdawczego, nie rzadziej niż na koniec miesiąca, zestawienie obrotów i sald, zawierające: 1) symbole lub nazwy kont; 2) salda kont na dzień otwarcia ksiąg rachunkowych, obroty za okres sprawozdawczy i narastająco od początku roku obrotowego oraz salda na koniec okresu sprawozdawczego; 3) sumy sald na dzień otwarcia ksiąg rachunkowych, obrotów za okres sprawozdawczy i narastająco od początku roku obrotowego oraz sald na koniec okresu sprawozdawczego. Obroty tego zestawienia powinny być zgodne z obrotami dziennika lub obrotami zestawienia obrotów dzienników częściowych.</w:t>
      </w:r>
    </w:p>
    <w:p w:rsidR="003D43A9" w:rsidRPr="003D43A9" w:rsidRDefault="003D43A9" w:rsidP="003D43A9">
      <w:pPr>
        <w:pStyle w:val="Akapitzlist"/>
        <w:numPr>
          <w:ilvl w:val="0"/>
          <w:numId w:val="6"/>
        </w:numPr>
        <w:jc w:val="both"/>
        <w:rPr>
          <w:rFonts w:ascii="Tahoma" w:hAnsi="Tahoma" w:cs="Tahoma"/>
          <w:szCs w:val="24"/>
        </w:rPr>
      </w:pPr>
      <w:r w:rsidRPr="003D43A9">
        <w:rPr>
          <w:rFonts w:ascii="Tahoma" w:hAnsi="Tahoma" w:cs="Tahoma"/>
          <w:b/>
          <w:szCs w:val="24"/>
        </w:rPr>
        <w:t>W NOD ze środków publicznych przeznaczonych na prowadzenie działalności statutowej tej jednostki, dwukrotnie sfinansowano koszty noclegu (Kraków, Warszawa) osoby (Pani K.M., będącej managerem zespołu Dziubek Band koncertującego pod batutą Mariusza Dziubka), która nie była pracownikiem Narodowej Orkiestry Dętej z siedzibą w Lubinie, ani w jakikolwiek inny sposób nie była związana z NOD (np. umową cywilnoprawną) Stanowi to naruszenie art. 28 ust. 3 pkt 1 ustawy o organizowaniu i prowadzeniu działalności kulturalnej.</w:t>
      </w:r>
      <w:r w:rsidRPr="003D43A9">
        <w:rPr>
          <w:rFonts w:ascii="Tahoma" w:hAnsi="Tahoma" w:cs="Tahoma"/>
          <w:szCs w:val="24"/>
        </w:rPr>
        <w:t xml:space="preserve"> Zgodnie z art. 28 ust. 3 pkt 1 ustawy o organizowaniu i prowadzeniu działalności kulturalnej organizator przekazuje  instytucji  kultury  środki  finansowe  </w:t>
      </w:r>
      <w:r w:rsidR="00154233">
        <w:rPr>
          <w:rFonts w:ascii="Tahoma" w:hAnsi="Tahoma" w:cs="Tahoma"/>
          <w:szCs w:val="24"/>
        </w:rPr>
        <w:br/>
      </w:r>
      <w:r w:rsidRPr="003D43A9">
        <w:rPr>
          <w:rFonts w:ascii="Tahoma" w:hAnsi="Tahoma" w:cs="Tahoma"/>
          <w:szCs w:val="24"/>
        </w:rPr>
        <w:t>w  formie  dotacji  podmiotowej na dofinansowanie działalności bieżącej w zakresie realizowanych zadań statutowych,</w:t>
      </w:r>
      <w:r w:rsidR="00154233">
        <w:rPr>
          <w:rFonts w:ascii="Tahoma" w:hAnsi="Tahoma" w:cs="Tahoma"/>
          <w:szCs w:val="24"/>
        </w:rPr>
        <w:t xml:space="preserve"> </w:t>
      </w:r>
      <w:r w:rsidRPr="003D43A9">
        <w:rPr>
          <w:rFonts w:ascii="Tahoma" w:hAnsi="Tahoma" w:cs="Tahoma"/>
          <w:szCs w:val="24"/>
        </w:rPr>
        <w:t>w tym na utrzymanie i remonty obiektów Zgodnie z art. 53 ust. 1 ustawy o finansach publicznych kierownik jednostki sektora finansów publicznych jest odpowiedzialny za całość gospodarki finansowej tej jednostki.</w:t>
      </w:r>
    </w:p>
    <w:p w:rsidR="003D43A9" w:rsidRPr="003D43A9" w:rsidRDefault="003D43A9" w:rsidP="003D43A9">
      <w:pPr>
        <w:ind w:left="360"/>
        <w:jc w:val="both"/>
        <w:rPr>
          <w:rFonts w:ascii="Tahoma" w:hAnsi="Tahoma" w:cs="Tahoma"/>
          <w:b/>
          <w:szCs w:val="24"/>
        </w:rPr>
      </w:pPr>
      <w:r w:rsidRPr="003D43A9">
        <w:rPr>
          <w:rFonts w:ascii="Tahoma" w:hAnsi="Tahoma" w:cs="Tahoma"/>
          <w:b/>
          <w:szCs w:val="24"/>
        </w:rPr>
        <w:t>Dodatkowo ustalono, że kontakt do Pani K.M. został umieszczony na oficjalnej stronie NOD.</w:t>
      </w:r>
    </w:p>
    <w:p w:rsidR="003D43A9" w:rsidRPr="003D43A9" w:rsidRDefault="003D43A9" w:rsidP="003D43A9">
      <w:pPr>
        <w:pStyle w:val="Akapitzlist"/>
        <w:numPr>
          <w:ilvl w:val="0"/>
          <w:numId w:val="6"/>
        </w:numPr>
        <w:jc w:val="both"/>
        <w:rPr>
          <w:rFonts w:ascii="Tahoma" w:hAnsi="Tahoma" w:cs="Tahoma"/>
          <w:szCs w:val="24"/>
        </w:rPr>
      </w:pPr>
      <w:r w:rsidRPr="003D43A9">
        <w:rPr>
          <w:rFonts w:ascii="Tahoma" w:hAnsi="Tahoma" w:cs="Tahoma"/>
          <w:b/>
          <w:szCs w:val="24"/>
        </w:rPr>
        <w:t xml:space="preserve">Wysokość ponoszonych kosztów oraz/lub zaciągniętych zobowiązań </w:t>
      </w:r>
      <w:r w:rsidR="00154233">
        <w:rPr>
          <w:rFonts w:ascii="Tahoma" w:hAnsi="Tahoma" w:cs="Tahoma"/>
          <w:b/>
          <w:szCs w:val="24"/>
        </w:rPr>
        <w:br/>
      </w:r>
      <w:r w:rsidRPr="003D43A9">
        <w:rPr>
          <w:rFonts w:ascii="Tahoma" w:hAnsi="Tahoma" w:cs="Tahoma"/>
          <w:b/>
          <w:szCs w:val="24"/>
        </w:rPr>
        <w:t>w odniesieniu</w:t>
      </w:r>
      <w:r w:rsidR="00154233">
        <w:rPr>
          <w:rFonts w:ascii="Tahoma" w:hAnsi="Tahoma" w:cs="Tahoma"/>
          <w:b/>
          <w:szCs w:val="24"/>
        </w:rPr>
        <w:t xml:space="preserve"> </w:t>
      </w:r>
      <w:r w:rsidRPr="003D43A9">
        <w:rPr>
          <w:rFonts w:ascii="Tahoma" w:hAnsi="Tahoma" w:cs="Tahoma"/>
          <w:b/>
          <w:szCs w:val="24"/>
        </w:rPr>
        <w:t xml:space="preserve">do niektórych rodzajów kosztów (tj.: zakup usług o kwotę 168.316,88 zł, zakup wyposażenia o kwotę 10.670,05 zł, obligatoryjne obciążenia pracodawcy i pracownika z tytułu ZUS i FP, PIT, PPK o kwotę 379.788,39 zł, remonty i konserwacje o kwotę 434,86 zł) przekraczała na dzień 30.11.2022 r. wysokość tych kosztów planowanych do poniesienia w danym roku zgodnie z planem finansowym obowiązującym w NOD. Stanowi to naruszenie art. 44 ust. 1 pkt 3, art. 46 ust. 1 oraz art. 52 ust. 3 </w:t>
      </w:r>
      <w:r w:rsidRPr="003D43A9">
        <w:rPr>
          <w:rFonts w:ascii="Tahoma" w:hAnsi="Tahoma" w:cs="Tahoma"/>
          <w:b/>
          <w:szCs w:val="24"/>
        </w:rPr>
        <w:br/>
        <w:t xml:space="preserve">(w zw. z art. 52 ust. 2) ustawy o finansach publicznych. </w:t>
      </w:r>
      <w:r w:rsidRPr="003D43A9">
        <w:rPr>
          <w:rFonts w:ascii="Tahoma" w:hAnsi="Tahoma" w:cs="Tahoma"/>
          <w:szCs w:val="24"/>
        </w:rPr>
        <w:t xml:space="preserve">(Zgodnie z art. 44 ust. 1 pkt 3 ustawy o finansach publicznych wydatki publiczne mogą być ponoszone na cele </w:t>
      </w:r>
      <w:r w:rsidR="00154233">
        <w:rPr>
          <w:rFonts w:ascii="Tahoma" w:hAnsi="Tahoma" w:cs="Tahoma"/>
          <w:szCs w:val="24"/>
        </w:rPr>
        <w:br/>
      </w:r>
      <w:r w:rsidRPr="003D43A9">
        <w:rPr>
          <w:rFonts w:ascii="Tahoma" w:hAnsi="Tahoma" w:cs="Tahoma"/>
          <w:szCs w:val="24"/>
        </w:rPr>
        <w:t xml:space="preserve">i w wysokościach ustalonych w planie finansowym jednostki sektora finansów publicznych. Zgodnie z art. 46 ust. 1 ustawy o finansach publicznych jednostki sektora finansów publicznych mogą zaciągać zobowiązania do sfinansowania w danym roku do wysokości wynikającej z planu wydatków lub kosztów jednostki, pomniejszonej o wydatki </w:t>
      </w:r>
      <w:r w:rsidR="00154233">
        <w:rPr>
          <w:rFonts w:ascii="Tahoma" w:hAnsi="Tahoma" w:cs="Tahoma"/>
          <w:szCs w:val="24"/>
        </w:rPr>
        <w:br/>
      </w:r>
      <w:r w:rsidRPr="003D43A9">
        <w:rPr>
          <w:rFonts w:ascii="Tahoma" w:hAnsi="Tahoma" w:cs="Tahoma"/>
          <w:szCs w:val="24"/>
        </w:rPr>
        <w:t xml:space="preserve">na wynagrodzenia i uposażenia, składki na ubezpieczenie społeczne i Fundusz Pracy, inne składki i opłaty obligatoryjne oraz płatności wynikające z zobowiązań zaciągniętych </w:t>
      </w:r>
      <w:r w:rsidR="00154233">
        <w:rPr>
          <w:rFonts w:ascii="Tahoma" w:hAnsi="Tahoma" w:cs="Tahoma"/>
          <w:szCs w:val="24"/>
        </w:rPr>
        <w:br/>
      </w:r>
      <w:r w:rsidRPr="003D43A9">
        <w:rPr>
          <w:rFonts w:ascii="Tahoma" w:hAnsi="Tahoma" w:cs="Tahoma"/>
          <w:szCs w:val="24"/>
        </w:rPr>
        <w:t>w latach poprzednich, z zastrzeżeniem art. 136 ust. 4 i art. 153. Zgodnie z art. 52 ust. 2</w:t>
      </w:r>
      <w:r w:rsidR="00154233">
        <w:rPr>
          <w:rFonts w:ascii="Tahoma" w:hAnsi="Tahoma" w:cs="Tahoma"/>
          <w:szCs w:val="24"/>
        </w:rPr>
        <w:br/>
      </w:r>
      <w:r w:rsidRPr="003D43A9">
        <w:rPr>
          <w:rFonts w:ascii="Tahoma" w:hAnsi="Tahoma" w:cs="Tahoma"/>
          <w:szCs w:val="24"/>
        </w:rPr>
        <w:t xml:space="preserve">i 3 ujęte w rocznych planach finansowych jednostek sektora finansów publicznych: </w:t>
      </w:r>
      <w:r w:rsidR="00154233">
        <w:rPr>
          <w:rFonts w:ascii="Tahoma" w:hAnsi="Tahoma" w:cs="Tahoma"/>
          <w:szCs w:val="24"/>
        </w:rPr>
        <w:t>p</w:t>
      </w:r>
      <w:r w:rsidRPr="003D43A9">
        <w:rPr>
          <w:rFonts w:ascii="Tahoma" w:hAnsi="Tahoma" w:cs="Tahoma"/>
          <w:szCs w:val="24"/>
        </w:rPr>
        <w:t xml:space="preserve">rzychody – stanowią prognozy ich wielkości; koszty - mogą ulec zwiększeniu, jeżeli: zrealizowano przychody wyższe od prognozowanych, zwiększenie kosztów nie spowoduje zwiększenia dotacji z budżetu lub zwiększenia planowanego stanu zobowiązań. Zmiany </w:t>
      </w:r>
      <w:r w:rsidR="00154233">
        <w:rPr>
          <w:rFonts w:ascii="Tahoma" w:hAnsi="Tahoma" w:cs="Tahoma"/>
          <w:szCs w:val="24"/>
        </w:rPr>
        <w:br/>
      </w:r>
      <w:r w:rsidRPr="003D43A9">
        <w:rPr>
          <w:rFonts w:ascii="Tahoma" w:hAnsi="Tahoma" w:cs="Tahoma"/>
          <w:szCs w:val="24"/>
        </w:rPr>
        <w:t xml:space="preserve">w zakresie przychodów i kosztów, o których mowa powyżej, wymagają dokonania zmian w rocznym planie finansowym. Zmiany planu finansowego wynikające z art. 52 ustawy </w:t>
      </w:r>
      <w:r w:rsidR="00154233">
        <w:rPr>
          <w:rFonts w:ascii="Tahoma" w:hAnsi="Tahoma" w:cs="Tahoma"/>
          <w:szCs w:val="24"/>
        </w:rPr>
        <w:br/>
      </w:r>
      <w:r w:rsidRPr="003D43A9">
        <w:rPr>
          <w:rFonts w:ascii="Tahoma" w:hAnsi="Tahoma" w:cs="Tahoma"/>
          <w:szCs w:val="24"/>
        </w:rPr>
        <w:t>o finansach publicznych wymagają podjęcia decyzji (zarządzenia) co do wartości dokonywanych zmian. Jest to ważne w kontekście zarządzania ryzykiem naruszenia dyscypliny finansów publicznych. A zatem zmiany planu finansowego wymagają zarządzenia dyrektora instytucji kultury.</w:t>
      </w:r>
    </w:p>
    <w:p w:rsidR="003D43A9" w:rsidRPr="003D43A9" w:rsidRDefault="003D43A9" w:rsidP="003D43A9">
      <w:pPr>
        <w:jc w:val="both"/>
        <w:rPr>
          <w:rFonts w:ascii="Tahoma" w:hAnsi="Tahoma" w:cs="Tahoma"/>
          <w:szCs w:val="24"/>
        </w:rPr>
      </w:pPr>
    </w:p>
    <w:p w:rsidR="003D43A9" w:rsidRPr="003D43A9" w:rsidRDefault="003D43A9" w:rsidP="003D43A9">
      <w:pPr>
        <w:pStyle w:val="Akapitzlist"/>
        <w:numPr>
          <w:ilvl w:val="0"/>
          <w:numId w:val="6"/>
        </w:numPr>
        <w:jc w:val="both"/>
        <w:rPr>
          <w:rFonts w:ascii="Tahoma" w:hAnsi="Tahoma" w:cs="Tahoma"/>
          <w:szCs w:val="24"/>
        </w:rPr>
      </w:pPr>
      <w:r w:rsidRPr="003D43A9">
        <w:rPr>
          <w:rFonts w:ascii="Tahoma" w:hAnsi="Tahoma" w:cs="Tahoma"/>
          <w:b/>
          <w:szCs w:val="24"/>
        </w:rPr>
        <w:t xml:space="preserve">Brak przeprowadzenia w NOD udokumentowanej inwentaryzacji, w roku 2020 i 2021 w tym brak wydania przez Dyrektora Narodowej Orkiestry Dętej w Lubinie zarządzenia o jej przeprowadzeniu. Stanowi to naruszenie art. 4 ust. 3 pkt 3 i art. 26- 27 ustawy o rachunkowości oraz zapisów instrukcji inwentaryzacyjnej Narodowej Orkiestry Dętej w Lubinie - w szczególności § 5 </w:t>
      </w:r>
      <w:r w:rsidR="00154233">
        <w:rPr>
          <w:rFonts w:ascii="Tahoma" w:hAnsi="Tahoma" w:cs="Tahoma"/>
          <w:b/>
          <w:szCs w:val="24"/>
        </w:rPr>
        <w:br/>
      </w:r>
      <w:r w:rsidRPr="003D43A9">
        <w:rPr>
          <w:rFonts w:ascii="Tahoma" w:hAnsi="Tahoma" w:cs="Tahoma"/>
          <w:b/>
          <w:szCs w:val="24"/>
        </w:rPr>
        <w:t xml:space="preserve">i § 9. </w:t>
      </w:r>
      <w:r w:rsidRPr="003D43A9">
        <w:rPr>
          <w:rFonts w:ascii="Tahoma" w:hAnsi="Tahoma" w:cs="Tahoma"/>
          <w:szCs w:val="24"/>
        </w:rPr>
        <w:t xml:space="preserve">(Zgodnie z art. 4 ust. 3 pkt 3 ustawy o rachunkowości - rachunkowość jednostki obejmuje okresowe ustalanie lub sprawdzanie </w:t>
      </w:r>
      <w:r w:rsidR="009A1DC8">
        <w:rPr>
          <w:rFonts w:ascii="Tahoma" w:hAnsi="Tahoma" w:cs="Tahoma"/>
          <w:szCs w:val="24"/>
        </w:rPr>
        <w:t>droga</w:t>
      </w:r>
      <w:r w:rsidRPr="003D43A9">
        <w:rPr>
          <w:rFonts w:ascii="Tahoma" w:hAnsi="Tahoma" w:cs="Tahoma"/>
          <w:szCs w:val="24"/>
        </w:rPr>
        <w:t xml:space="preserve"> inwentaryzacji rzeczywistego stanu aktywów i pasywów. Art. 26 - 27 ustawy</w:t>
      </w:r>
      <w:r w:rsidR="009A1DC8">
        <w:rPr>
          <w:rFonts w:ascii="Tahoma" w:hAnsi="Tahoma" w:cs="Tahoma"/>
          <w:szCs w:val="24"/>
        </w:rPr>
        <w:t xml:space="preserve"> </w:t>
      </w:r>
      <w:r w:rsidRPr="003D43A9">
        <w:rPr>
          <w:rFonts w:ascii="Tahoma" w:hAnsi="Tahoma" w:cs="Tahoma"/>
          <w:szCs w:val="24"/>
        </w:rPr>
        <w:t>o rachunkowości określając m.in. terminy przeprowadzania rachunkowości oraz sposób jej udokumentowania oraz rozliczania).</w:t>
      </w:r>
    </w:p>
    <w:p w:rsidR="003D43A9" w:rsidRPr="003D43A9" w:rsidRDefault="003D43A9" w:rsidP="003D43A9">
      <w:pPr>
        <w:jc w:val="both"/>
        <w:rPr>
          <w:rFonts w:ascii="Tahoma" w:hAnsi="Tahoma" w:cs="Tahoma"/>
          <w:szCs w:val="24"/>
        </w:rPr>
      </w:pPr>
    </w:p>
    <w:p w:rsidR="003D43A9" w:rsidRDefault="003D43A9" w:rsidP="003D43A9">
      <w:pPr>
        <w:pStyle w:val="Akapitzlist"/>
        <w:numPr>
          <w:ilvl w:val="0"/>
          <w:numId w:val="6"/>
        </w:numPr>
        <w:jc w:val="both"/>
        <w:rPr>
          <w:rFonts w:ascii="Tahoma" w:hAnsi="Tahoma" w:cs="Tahoma"/>
          <w:szCs w:val="24"/>
        </w:rPr>
      </w:pPr>
      <w:r w:rsidRPr="003D43A9">
        <w:rPr>
          <w:rFonts w:ascii="Tahoma" w:hAnsi="Tahoma" w:cs="Tahoma"/>
          <w:b/>
          <w:szCs w:val="24"/>
        </w:rPr>
        <w:t xml:space="preserve">W NOD system kontroli zarządczej nie zapewniał w pełni realizacji celów i zadań </w:t>
      </w:r>
      <w:r w:rsidRPr="003D43A9">
        <w:rPr>
          <w:rFonts w:ascii="Tahoma" w:hAnsi="Tahoma" w:cs="Tahoma"/>
          <w:b/>
          <w:szCs w:val="24"/>
        </w:rPr>
        <w:br/>
        <w:t xml:space="preserve">w sposób zgodny z przepisami prawa, efektywny, oszczędny i terminowy. </w:t>
      </w:r>
      <w:r w:rsidR="00154233">
        <w:rPr>
          <w:rFonts w:ascii="Tahoma" w:hAnsi="Tahoma" w:cs="Tahoma"/>
          <w:b/>
          <w:szCs w:val="24"/>
        </w:rPr>
        <w:br/>
      </w:r>
      <w:r w:rsidRPr="003D43A9">
        <w:rPr>
          <w:rFonts w:ascii="Tahoma" w:hAnsi="Tahoma" w:cs="Tahoma"/>
          <w:b/>
          <w:szCs w:val="24"/>
        </w:rPr>
        <w:t xml:space="preserve">Nie zostały zapewnione cele kontroli zarządczej: zwłaszcza w zakresie zgodności działalności z przepisami prawa oraz procedurami wewnętrznymi i ochrony zasobów oraz zarządzania ryzykiem. W NOD nie był tworzony plan działalności Orkiestry z ustaleniem listy celów i zadań do realizacji (§ 14 pkt 4 Regulamin organizacji i zasad funkcjonowania kontroli zarządczej), brak było również wykazu ryzyk (zdarzeń niepewnych) wraz z funkcjonującymi i proponowanymi mechanizmami kontrolnymi, ograniczającymi występujące ryzyko (§ 14 pkt 6 Regulamin organizacji i zasad funkcjonowania kontroli zarządczej) W jednostce nie były wprowadzone procedury dotyczące właściwej eksploatacji oraz zabezpieczenia majątku (ochrony zasobów), nie było też przypisanej odpowiedzialności wskazanym osobom za poszczególne składniki mienia (§ 19 Regulamin organizacji i zasad funkcjonowania kontroli zarządczej). W jednostce nie zostały wdrożone i nie były przestrzegane mechanizmy kontroli dotyczące operacji finansowych i gospodarczych (§ 20 Regulamin organizacji i zasad funkcjonowania kontroli zarządczej). </w:t>
      </w:r>
      <w:r w:rsidR="00154233">
        <w:rPr>
          <w:rFonts w:ascii="Tahoma" w:hAnsi="Tahoma" w:cs="Tahoma"/>
          <w:b/>
          <w:szCs w:val="24"/>
        </w:rPr>
        <w:br/>
      </w:r>
      <w:r w:rsidRPr="003D43A9">
        <w:rPr>
          <w:rFonts w:ascii="Tahoma" w:hAnsi="Tahoma" w:cs="Tahoma"/>
          <w:b/>
          <w:szCs w:val="24"/>
        </w:rPr>
        <w:t xml:space="preserve">W jednostce nie był również prowadzony udokumentowany proces samooceny kontroli zarządczej - ankieta (§ 26 Regulamin organizacji i zasad funkcjonowania kontroli zarządczej). W NOD nie był prowadzony rejestr ryzyk (§ 13 Regulaminu zarządzania ryzykiem). </w:t>
      </w:r>
      <w:r w:rsidRPr="003D43A9">
        <w:rPr>
          <w:rFonts w:ascii="Tahoma" w:hAnsi="Tahoma" w:cs="Tahoma"/>
          <w:szCs w:val="24"/>
        </w:rPr>
        <w:t xml:space="preserve">Zgodnie z art. 69 ust. l. pkt 3 ustawy </w:t>
      </w:r>
      <w:r w:rsidR="00154233">
        <w:rPr>
          <w:rFonts w:ascii="Tahoma" w:hAnsi="Tahoma" w:cs="Tahoma"/>
          <w:szCs w:val="24"/>
        </w:rPr>
        <w:br/>
      </w:r>
      <w:r w:rsidRPr="003D43A9">
        <w:rPr>
          <w:rFonts w:ascii="Tahoma" w:hAnsi="Tahoma" w:cs="Tahoma"/>
          <w:szCs w:val="24"/>
        </w:rPr>
        <w:t xml:space="preserve">o finansach publicznych zapewnienie funkcjonowania adekwatnej, skutecznej </w:t>
      </w:r>
      <w:r w:rsidRPr="003D43A9">
        <w:rPr>
          <w:rFonts w:ascii="Tahoma" w:hAnsi="Tahoma" w:cs="Tahoma"/>
          <w:szCs w:val="24"/>
        </w:rPr>
        <w:br/>
        <w:t xml:space="preserve">i efektywnej kontroli zarządczej należny do obowiązków kierownika jednostki. Ponadto zgodnie z § 2 pkt 1 Zarządzenia nr 6/2019 Dyrektora Narodowej Orkiestry Dętej z siedzibą w Lubinie z dnia 5 listopada 2019 r. w sprawie Regulaminu organizacji i zasad funkcjonowania  kontroli  zarządczej  nadzór  merytoryczny  nad  wprowadzeniem </w:t>
      </w:r>
      <w:r w:rsidRPr="003D43A9">
        <w:rPr>
          <w:rFonts w:ascii="Tahoma" w:hAnsi="Tahoma" w:cs="Tahoma"/>
          <w:szCs w:val="24"/>
        </w:rPr>
        <w:br/>
        <w:t>i funkcjonowaniem kontroli zarządczej sprawuje Dyrektor.</w:t>
      </w:r>
    </w:p>
    <w:p w:rsidR="00154233" w:rsidRPr="003D43A9" w:rsidRDefault="00154233" w:rsidP="00154233">
      <w:pPr>
        <w:pStyle w:val="Akapitzlist"/>
        <w:ind w:left="360" w:firstLine="0"/>
        <w:jc w:val="both"/>
        <w:rPr>
          <w:rFonts w:ascii="Tahoma" w:hAnsi="Tahoma" w:cs="Tahoma"/>
          <w:szCs w:val="24"/>
        </w:rPr>
      </w:pPr>
    </w:p>
    <w:p w:rsidR="003D43A9" w:rsidRPr="003D43A9" w:rsidRDefault="003D43A9" w:rsidP="003D43A9">
      <w:pPr>
        <w:pStyle w:val="Akapitzlist"/>
        <w:numPr>
          <w:ilvl w:val="0"/>
          <w:numId w:val="6"/>
        </w:numPr>
        <w:jc w:val="both"/>
        <w:rPr>
          <w:rFonts w:ascii="Tahoma" w:hAnsi="Tahoma" w:cs="Tahoma"/>
          <w:szCs w:val="24"/>
        </w:rPr>
      </w:pPr>
      <w:r w:rsidRPr="003D43A9">
        <w:rPr>
          <w:rFonts w:ascii="Tahoma" w:hAnsi="Tahoma" w:cs="Tahoma"/>
          <w:szCs w:val="24"/>
        </w:rPr>
        <w:t xml:space="preserve">Uzasadnieniem dla niniejszego zarządzenia jest nadto naruszenie przez Pana Mariusza Dziubka przepisów prawa polegających na odwołaniu Zastępcy Dyrektora bez uprzedniego uzyskania wymaganej zgody organizatora, co stanowiło naruszenie § 5 ust. 5 Statutu Narodowej Orkiestry Dętej w związku z przepisem art. 15 ust. 8 zdanie drugie ustawy </w:t>
      </w:r>
      <w:r w:rsidRPr="003D43A9">
        <w:rPr>
          <w:rFonts w:ascii="Tahoma" w:hAnsi="Tahoma" w:cs="Tahoma"/>
          <w:szCs w:val="24"/>
        </w:rPr>
        <w:br/>
        <w:t>z dnia 25 października 1991r. o organizowaniu i prowadzeniu działalności kulturalnej.</w:t>
      </w:r>
    </w:p>
    <w:p w:rsidR="003D43A9" w:rsidRPr="003D43A9" w:rsidRDefault="003D43A9" w:rsidP="003D43A9">
      <w:pPr>
        <w:ind w:left="360"/>
        <w:jc w:val="both"/>
        <w:rPr>
          <w:rFonts w:ascii="Tahoma" w:hAnsi="Tahoma" w:cs="Tahoma"/>
          <w:szCs w:val="24"/>
        </w:rPr>
      </w:pPr>
      <w:r w:rsidRPr="003D43A9">
        <w:rPr>
          <w:rFonts w:ascii="Tahoma" w:hAnsi="Tahoma" w:cs="Tahoma"/>
          <w:szCs w:val="24"/>
        </w:rPr>
        <w:t>Zgodnie z postanowieniem § 5 ust. 5 Statutu Narodowej Orkiestry Dętej będącego</w:t>
      </w:r>
      <w:r w:rsidR="00154233">
        <w:rPr>
          <w:rFonts w:ascii="Tahoma" w:hAnsi="Tahoma" w:cs="Tahoma"/>
          <w:szCs w:val="24"/>
        </w:rPr>
        <w:t xml:space="preserve"> </w:t>
      </w:r>
      <w:r w:rsidRPr="003D43A9">
        <w:rPr>
          <w:rFonts w:ascii="Tahoma" w:hAnsi="Tahoma" w:cs="Tahoma"/>
          <w:szCs w:val="24"/>
        </w:rPr>
        <w:t xml:space="preserve">załącznikiem nr 1 do uchwały Nr VII/43/19 Rady Miejskiej w Lubinie z dnia 21 maja 2019 r. (Dziennik Urzędowy Województwa Dolnośląskiego z 29 maja 2019r., poz. 3479) </w:t>
      </w:r>
      <w:r w:rsidR="00154233">
        <w:rPr>
          <w:rFonts w:ascii="Tahoma" w:hAnsi="Tahoma" w:cs="Tahoma"/>
          <w:szCs w:val="24"/>
        </w:rPr>
        <w:br/>
      </w:r>
      <w:r w:rsidRPr="003D43A9">
        <w:rPr>
          <w:rFonts w:ascii="Tahoma" w:hAnsi="Tahoma" w:cs="Tahoma"/>
          <w:szCs w:val="24"/>
        </w:rPr>
        <w:t xml:space="preserve">w Orkiestrze może zostać utworzone stanowisko Zastępcy Dyrektora Orkiestry, którego powołuje i odwołuje Dyrektor Orkiestry, po zasięgnięciu opinii organizatora, </w:t>
      </w:r>
      <w:proofErr w:type="spellStart"/>
      <w:r w:rsidRPr="003D43A9">
        <w:rPr>
          <w:rFonts w:ascii="Tahoma" w:hAnsi="Tahoma" w:cs="Tahoma"/>
          <w:szCs w:val="24"/>
        </w:rPr>
        <w:t>t.j</w:t>
      </w:r>
      <w:proofErr w:type="spellEnd"/>
      <w:r w:rsidRPr="003D43A9">
        <w:rPr>
          <w:rFonts w:ascii="Tahoma" w:hAnsi="Tahoma" w:cs="Tahoma"/>
          <w:szCs w:val="24"/>
        </w:rPr>
        <w:t>. Gminy Miejskiej Lubin.</w:t>
      </w:r>
    </w:p>
    <w:p w:rsidR="003D43A9" w:rsidRPr="003D43A9" w:rsidRDefault="003D43A9" w:rsidP="003D43A9">
      <w:pPr>
        <w:ind w:left="360"/>
        <w:jc w:val="both"/>
        <w:rPr>
          <w:rFonts w:ascii="Tahoma" w:hAnsi="Tahoma" w:cs="Tahoma"/>
          <w:szCs w:val="24"/>
        </w:rPr>
      </w:pPr>
      <w:r w:rsidRPr="003D43A9">
        <w:rPr>
          <w:rFonts w:ascii="Tahoma" w:hAnsi="Tahoma" w:cs="Tahoma"/>
          <w:szCs w:val="24"/>
        </w:rPr>
        <w:t xml:space="preserve">Pan Mariusz Dziubek złożył u organizatora wniosek o opinię w dniu 6.12.2022r. </w:t>
      </w:r>
      <w:r w:rsidR="00154233">
        <w:rPr>
          <w:rFonts w:ascii="Tahoma" w:hAnsi="Tahoma" w:cs="Tahoma"/>
          <w:szCs w:val="24"/>
        </w:rPr>
        <w:br/>
      </w:r>
      <w:r w:rsidRPr="003D43A9">
        <w:rPr>
          <w:rFonts w:ascii="Tahoma" w:hAnsi="Tahoma" w:cs="Tahoma"/>
          <w:szCs w:val="24"/>
        </w:rPr>
        <w:t xml:space="preserve">po godz. 15:52 i zakreślił organizatorowi jednodniowy termin na przedstawienie takiej opinii. </w:t>
      </w:r>
      <w:r w:rsidRPr="003D43A9">
        <w:rPr>
          <w:rFonts w:ascii="Tahoma" w:hAnsi="Tahoma" w:cs="Tahoma"/>
          <w:szCs w:val="24"/>
        </w:rPr>
        <w:br/>
        <w:t>Pan Mariusz Dziubek nie odczekał na upływ tego jednodniowego terminu i przed jego upływem, nie uzyskawszy tejże opinii, w dniu 8.12.2022r. około godz. 14:00 odwołał zastępcę dyrektora.</w:t>
      </w:r>
    </w:p>
    <w:p w:rsidR="003D43A9" w:rsidRPr="003D43A9" w:rsidRDefault="003D43A9" w:rsidP="003D43A9">
      <w:pPr>
        <w:ind w:left="360"/>
        <w:jc w:val="both"/>
        <w:rPr>
          <w:rFonts w:ascii="Tahoma" w:hAnsi="Tahoma" w:cs="Tahoma"/>
          <w:szCs w:val="24"/>
        </w:rPr>
      </w:pPr>
      <w:r w:rsidRPr="003D43A9">
        <w:rPr>
          <w:rFonts w:ascii="Tahoma" w:hAnsi="Tahoma" w:cs="Tahoma"/>
          <w:szCs w:val="24"/>
        </w:rPr>
        <w:t xml:space="preserve">Wyznaczany termin na wydanie opinii powinien być realny, który w toku normalnych czynności umożliwiałby przygotowanie rzetelnej analizy, wyjaśnienia wszystkich okoliczności, mających wpływ na planowane odwołanie zastępcę dyrektora, a następnie przekazanie takiej opinii we właściwej formie, treści. Wyznaczanie przez Pana Mariusza Dziubka jednodniowego terminu uznać należny z jednej strony za zachowanie nielojalne wobec organizatora, jak również stanowi nadużycie prawa (art. 5 </w:t>
      </w:r>
      <w:proofErr w:type="spellStart"/>
      <w:r w:rsidRPr="003D43A9">
        <w:rPr>
          <w:rFonts w:ascii="Tahoma" w:hAnsi="Tahoma" w:cs="Tahoma"/>
          <w:szCs w:val="24"/>
        </w:rPr>
        <w:t>kc</w:t>
      </w:r>
      <w:proofErr w:type="spellEnd"/>
      <w:r w:rsidRPr="003D43A9">
        <w:rPr>
          <w:rFonts w:ascii="Tahoma" w:hAnsi="Tahoma" w:cs="Tahoma"/>
          <w:szCs w:val="24"/>
        </w:rPr>
        <w:t xml:space="preserve">). Z drugiej zaś strony należny oceniać w świetle art. 58 § 2 </w:t>
      </w:r>
      <w:proofErr w:type="spellStart"/>
      <w:r w:rsidRPr="003D43A9">
        <w:rPr>
          <w:rFonts w:ascii="Tahoma" w:hAnsi="Tahoma" w:cs="Tahoma"/>
          <w:szCs w:val="24"/>
        </w:rPr>
        <w:t>kc</w:t>
      </w:r>
      <w:proofErr w:type="spellEnd"/>
      <w:r w:rsidRPr="003D43A9">
        <w:rPr>
          <w:rFonts w:ascii="Tahoma" w:hAnsi="Tahoma" w:cs="Tahoma"/>
          <w:szCs w:val="24"/>
        </w:rPr>
        <w:t xml:space="preserve"> jako czynność nieważna - czynność prawna sprzeczna z zasadami współżycia społecznego.</w:t>
      </w:r>
    </w:p>
    <w:p w:rsidR="003D43A9" w:rsidRPr="003D43A9" w:rsidRDefault="003D43A9" w:rsidP="003D43A9">
      <w:pPr>
        <w:ind w:left="360"/>
        <w:jc w:val="both"/>
        <w:rPr>
          <w:rFonts w:ascii="Tahoma" w:hAnsi="Tahoma" w:cs="Tahoma"/>
          <w:szCs w:val="24"/>
        </w:rPr>
      </w:pPr>
      <w:r w:rsidRPr="003D43A9">
        <w:rPr>
          <w:rFonts w:ascii="Tahoma" w:hAnsi="Tahoma" w:cs="Tahoma"/>
          <w:szCs w:val="24"/>
        </w:rPr>
        <w:t xml:space="preserve">Zachowanie Pana Mariusza Dziubek zostało ocenienie jako brak lojalności wobec organizatora, który nawiązał z nim stosunek pracy. Dyrektor instytucji kultury obowiązany jest do lojalnego postępowania względem swojego pracodawcy, co należny wyprowadzić także z dyspozycji art. 26a ust. 1 ustawy z dnia 25 października 1991r. o organizowaniu </w:t>
      </w:r>
      <w:r w:rsidRPr="003D43A9">
        <w:rPr>
          <w:rFonts w:ascii="Tahoma" w:hAnsi="Tahoma" w:cs="Tahoma"/>
          <w:szCs w:val="24"/>
        </w:rPr>
        <w:br/>
        <w:t xml:space="preserve">i prowadzeniu działalności kulturalnej. Wskazuje się, że powinności te są ustanowieniem szczególnej zasady lojalności pracownika względem pracodawcy, z której przede wszystkim wynika obowiązek powstrzymania się pracownika od działań zmierzających </w:t>
      </w:r>
      <w:r w:rsidRPr="003D43A9">
        <w:rPr>
          <w:rFonts w:ascii="Tahoma" w:hAnsi="Tahoma" w:cs="Tahoma"/>
          <w:szCs w:val="24"/>
        </w:rPr>
        <w:br/>
        <w:t>do wyrządzenia</w:t>
      </w:r>
      <w:r w:rsidRPr="003D43A9">
        <w:rPr>
          <w:rFonts w:ascii="Tahoma" w:hAnsi="Tahoma" w:cs="Tahoma"/>
          <w:noProof/>
          <w:szCs w:val="24"/>
          <w:lang w:eastAsia="pl-PL"/>
        </w:rPr>
        <mc:AlternateContent>
          <mc:Choice Requires="wps">
            <w:drawing>
              <wp:anchor distT="0" distB="0" distL="0" distR="0" simplePos="0" relativeHeight="251661312" behindDoc="0" locked="0" layoutInCell="0" allowOverlap="1" wp14:anchorId="166244F7" wp14:editId="52FC655C">
                <wp:simplePos x="0" y="0"/>
                <wp:positionH relativeFrom="page">
                  <wp:posOffset>0</wp:posOffset>
                </wp:positionH>
                <wp:positionV relativeFrom="page">
                  <wp:posOffset>10674985</wp:posOffset>
                </wp:positionV>
                <wp:extent cx="635" cy="635"/>
                <wp:effectExtent l="0" t="0" r="0" b="0"/>
                <wp:wrapNone/>
                <wp:docPr id="8" name="Line 8"/>
                <wp:cNvGraphicFramePr/>
                <a:graphic xmlns:a="http://schemas.openxmlformats.org/drawingml/2006/main">
                  <a:graphicData uri="http://schemas.microsoft.com/office/word/2010/wordprocessingShape">
                    <wps:wsp>
                      <wps:cNvCnPr/>
                      <wps:spPr>
                        <a:xfrm>
                          <a:off x="0" y="0"/>
                          <a:ext cx="720" cy="720"/>
                        </a:xfrm>
                        <a:prstGeom prst="line">
                          <a:avLst/>
                        </a:prstGeom>
                        <a:ln w="0">
                          <a:solidFill>
                            <a:srgbClr val="A3A3A3"/>
                          </a:solidFill>
                        </a:ln>
                      </wps:spPr>
                      <wps:style>
                        <a:lnRef idx="0">
                          <a:scrgbClr r="0" g="0" b="0"/>
                        </a:lnRef>
                        <a:fillRef idx="0">
                          <a:scrgbClr r="0" g="0" b="0"/>
                        </a:fillRef>
                        <a:effectRef idx="0">
                          <a:scrgbClr r="0" g="0" b="0"/>
                        </a:effectRef>
                        <a:fontRef idx="minor"/>
                      </wps:style>
                      <wps:bodyPr/>
                    </wps:wsp>
                  </a:graphicData>
                </a:graphic>
              </wp:anchor>
            </w:drawing>
          </mc:Choice>
          <mc:Fallback>
            <w:pict>
              <v:line w14:anchorId="0538DF18" id="Line 8" o:spid="_x0000_s1026" style="position:absolute;z-index:251661312;visibility:visible;mso-wrap-style:square;mso-wrap-distance-left:0;mso-wrap-distance-top:0;mso-wrap-distance-right:0;mso-wrap-distance-bottom:0;mso-position-horizontal:absolute;mso-position-horizontal-relative:page;mso-position-vertical:absolute;mso-position-vertical-relative:page" from="0,840.55pt" to=".05pt,84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" o:allowincell="f" strokecolor="#a3a3a3" strokeweight="0">
                <w10:wrap anchorx="page" anchory="page"/>
              </v:line>
            </w:pict>
          </mc:Fallback>
        </mc:AlternateContent>
      </w:r>
      <w:r w:rsidRPr="003D43A9">
        <w:rPr>
          <w:rFonts w:ascii="Tahoma" w:hAnsi="Tahoma" w:cs="Tahoma"/>
          <w:noProof/>
          <w:szCs w:val="24"/>
          <w:lang w:eastAsia="pl-PL"/>
        </w:rPr>
        <mc:AlternateContent>
          <mc:Choice Requires="wps">
            <w:drawing>
              <wp:anchor distT="0" distB="0" distL="0" distR="0" simplePos="0" relativeHeight="251662336" behindDoc="0" locked="0" layoutInCell="0" allowOverlap="1" wp14:anchorId="37C96C04" wp14:editId="45419704">
                <wp:simplePos x="0" y="0"/>
                <wp:positionH relativeFrom="page">
                  <wp:posOffset>0</wp:posOffset>
                </wp:positionH>
                <wp:positionV relativeFrom="page">
                  <wp:posOffset>8742680</wp:posOffset>
                </wp:positionV>
                <wp:extent cx="635" cy="0"/>
                <wp:effectExtent l="0" t="0" r="0" b="0"/>
                <wp:wrapNone/>
                <wp:docPr id="9" name="Line 7"/>
                <wp:cNvGraphicFramePr/>
                <a:graphic xmlns:a="http://schemas.openxmlformats.org/drawingml/2006/main">
                  <a:graphicData uri="http://schemas.microsoft.com/office/word/2010/wordprocessingShape">
                    <wps:wsp>
                      <wps:cNvCnPr/>
                      <wps:spPr>
                        <a:xfrm>
                          <a:off x="0" y="0"/>
                          <a:ext cx="720" cy="0"/>
                        </a:xfrm>
                        <a:prstGeom prst="line">
                          <a:avLst/>
                        </a:prstGeom>
                        <a:ln w="0">
                          <a:solidFill>
                            <a:srgbClr val="C8C8C8"/>
                          </a:solidFill>
                        </a:ln>
                      </wps:spPr>
                      <wps:style>
                        <a:lnRef idx="0">
                          <a:scrgbClr r="0" g="0" b="0"/>
                        </a:lnRef>
                        <a:fillRef idx="0">
                          <a:scrgbClr r="0" g="0" b="0"/>
                        </a:fillRef>
                        <a:effectRef idx="0">
                          <a:scrgbClr r="0" g="0" b="0"/>
                        </a:effectRef>
                        <a:fontRef idx="minor"/>
                      </wps:style>
                      <wps:bodyPr/>
                    </wps:wsp>
                  </a:graphicData>
                </a:graphic>
              </wp:anchor>
            </w:drawing>
          </mc:Choice>
          <mc:Fallback>
            <w:pict>
              <v:line w14:anchorId="12460092" id="Line 7" o:spid="_x0000_s1026" style="position:absolute;z-index:251662336;visibility:visible;mso-wrap-style:square;mso-wrap-distance-left:0;mso-wrap-distance-top:0;mso-wrap-distance-right:0;mso-wrap-distance-bottom:0;mso-position-horizontal:absolute;mso-position-horizontal-relative:page;mso-position-vertical:absolute;mso-position-vertical-relative:page" from="0,688.4pt" to=".05pt,68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" o:allowincell="f" strokecolor="#c8c8c8" strokeweight="0">
                <w10:wrap anchorx="page" anchory="page"/>
              </v:line>
            </w:pict>
          </mc:Fallback>
        </mc:AlternateContent>
      </w:r>
      <w:r w:rsidRPr="003D43A9">
        <w:rPr>
          <w:rFonts w:ascii="Tahoma" w:hAnsi="Tahoma" w:cs="Tahoma"/>
          <w:noProof/>
          <w:szCs w:val="24"/>
          <w:lang w:eastAsia="pl-PL"/>
        </w:rPr>
        <mc:AlternateContent>
          <mc:Choice Requires="wps">
            <w:drawing>
              <wp:anchor distT="0" distB="0" distL="0" distR="0" simplePos="0" relativeHeight="251663360" behindDoc="0" locked="0" layoutInCell="0" allowOverlap="1" wp14:anchorId="004B4BD3" wp14:editId="63A8892F">
                <wp:simplePos x="0" y="0"/>
                <wp:positionH relativeFrom="page">
                  <wp:posOffset>0</wp:posOffset>
                </wp:positionH>
                <wp:positionV relativeFrom="page">
                  <wp:posOffset>8161020</wp:posOffset>
                </wp:positionV>
                <wp:extent cx="635" cy="635"/>
                <wp:effectExtent l="0" t="0" r="0" b="0"/>
                <wp:wrapNone/>
                <wp:docPr id="10" name="Line 6"/>
                <wp:cNvGraphicFramePr/>
                <a:graphic xmlns:a="http://schemas.openxmlformats.org/drawingml/2006/main">
                  <a:graphicData uri="http://schemas.microsoft.com/office/word/2010/wordprocessingShape">
                    <wps:wsp>
                      <wps:cNvCnPr/>
                      <wps:spPr>
                        <a:xfrm>
                          <a:off x="0" y="0"/>
                          <a:ext cx="720" cy="720"/>
                        </a:xfrm>
                        <a:prstGeom prst="line">
                          <a:avLst/>
                        </a:prstGeom>
                        <a:ln w="0">
                          <a:solidFill>
                            <a:srgbClr val="C8C8C8"/>
                          </a:solidFill>
                        </a:ln>
                      </wps:spPr>
                      <wps:style>
                        <a:lnRef idx="0">
                          <a:scrgbClr r="0" g="0" b="0"/>
                        </a:lnRef>
                        <a:fillRef idx="0">
                          <a:scrgbClr r="0" g="0" b="0"/>
                        </a:fillRef>
                        <a:effectRef idx="0">
                          <a:scrgbClr r="0" g="0" b="0"/>
                        </a:effectRef>
                        <a:fontRef idx="minor"/>
                      </wps:style>
                      <wps:bodyPr/>
                    </wps:wsp>
                  </a:graphicData>
                </a:graphic>
              </wp:anchor>
            </w:drawing>
          </mc:Choice>
          <mc:Fallback>
            <w:pict>
              <v:line w14:anchorId="6FDD615C" id="Line 6" o:spid="_x0000_s1026" style="position:absolute;z-index:251663360;visibility:visible;mso-wrap-style:square;mso-wrap-distance-left:0;mso-wrap-distance-top:0;mso-wrap-distance-right:0;mso-wrap-distance-bottom:0;mso-position-horizontal:absolute;mso-position-horizontal-relative:page;mso-position-vertical:absolute;mso-position-vertical-relative:page" from="0,642.6pt" to=".05pt,64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" o:allowincell="f" strokecolor="#c8c8c8" strokeweight="0">
                <w10:wrap anchorx="page" anchory="page"/>
              </v:line>
            </w:pict>
          </mc:Fallback>
        </mc:AlternateContent>
      </w:r>
      <w:r w:rsidRPr="003D43A9">
        <w:rPr>
          <w:rFonts w:ascii="Tahoma" w:hAnsi="Tahoma" w:cs="Tahoma"/>
          <w:szCs w:val="24"/>
        </w:rPr>
        <w:t xml:space="preserve"> pracodawcy szkody czy nawet ocenianych jako działania na niekorzyść pracodawcy, w tym też zawinione działanie pracownika powodujące samo zagrożenie interesów pracodawcy (zob. wyroki Sądu Najwyższego: z dnia 23 stycznia 2020 r., II PK 228/18, LEX nr 3107045; z dnia 25 kwietnia 2013 r., I PK 275/12, LEX nr 1380854). Dalej zaś, samo zagrożenie interesów pracodawcy może powodować utraty zaufania pracodawcy i stanowić podstawy rozwiązania umowy o pracy w szczególnym trybie (por. wyroki Sądu Najwyższego: z dnia 7 marca 2018 r., I PK 100/17, LEX nr 3130998; z dnia 18 października 2016 r., I PK 242/15, LEX nr 2174066; z dnia 22 marca 2016 r., II PK 37/15, LEX </w:t>
      </w:r>
      <w:r w:rsidRPr="003D43A9">
        <w:rPr>
          <w:rFonts w:ascii="Tahoma" w:hAnsi="Tahoma" w:cs="Tahoma"/>
          <w:szCs w:val="24"/>
        </w:rPr>
        <w:br/>
        <w:t>nr 2026396; z dnia 7 lipca 2011 r., II PK 13/11, LEX nr 952560; z dnia 9 lipca 2009 r., II PK 46/09, LEX nr 533035).</w:t>
      </w:r>
    </w:p>
    <w:p w:rsidR="003D43A9" w:rsidRPr="003D43A9" w:rsidRDefault="003D43A9" w:rsidP="003D43A9">
      <w:pPr>
        <w:ind w:left="360"/>
        <w:jc w:val="both"/>
        <w:rPr>
          <w:rFonts w:ascii="Tahoma" w:hAnsi="Tahoma" w:cs="Tahoma"/>
          <w:szCs w:val="24"/>
        </w:rPr>
      </w:pPr>
      <w:r w:rsidRPr="003D43A9">
        <w:rPr>
          <w:rFonts w:ascii="Tahoma" w:hAnsi="Tahoma" w:cs="Tahoma"/>
          <w:szCs w:val="24"/>
        </w:rPr>
        <w:t>Opisane zachowanie Pana Mariusza Dziubka wobec organizatora zostały ocenione jako wyjątkowo lekceważący stosunek do wynikającego z łączącego strony stosunku pracy obowiązku lojalności wobec organizatora.</w:t>
      </w:r>
    </w:p>
    <w:p w:rsidR="003D43A9" w:rsidRPr="003D43A9" w:rsidRDefault="003D43A9" w:rsidP="003D43A9">
      <w:pPr>
        <w:pStyle w:val="Akapitzlist"/>
        <w:numPr>
          <w:ilvl w:val="0"/>
          <w:numId w:val="6"/>
        </w:numPr>
        <w:jc w:val="both"/>
        <w:rPr>
          <w:rFonts w:ascii="Tahoma" w:hAnsi="Tahoma" w:cs="Tahoma"/>
          <w:szCs w:val="24"/>
        </w:rPr>
      </w:pPr>
      <w:r w:rsidRPr="003D43A9">
        <w:rPr>
          <w:rFonts w:ascii="Tahoma" w:hAnsi="Tahoma" w:cs="Tahoma"/>
          <w:szCs w:val="24"/>
        </w:rPr>
        <w:t xml:space="preserve">W trakcie kontroli ustalono również, że Pan Mariusz Dziubek nie dochowywał należytej staranności wobec mienia NOD. Poza jakąkolwiek ewidencją mienie NOD było wynoszone z siedziby NOD przez podległych Dyrektorowi pracowników. Nie zostało ustalone z jakich przyczyn Dyrektor stan taki tolerował, a nadto co miało uzasadniać wynoszenia </w:t>
      </w:r>
      <w:r w:rsidRPr="003D43A9">
        <w:rPr>
          <w:rFonts w:ascii="Tahoma" w:hAnsi="Tahoma" w:cs="Tahoma"/>
          <w:szCs w:val="24"/>
        </w:rPr>
        <w:br/>
        <w:t xml:space="preserve">przez pracowników rzeczy stanowiących mienie NOD poza jej siedziby w okresie, </w:t>
      </w:r>
      <w:r w:rsidRPr="003D43A9">
        <w:rPr>
          <w:rFonts w:ascii="Tahoma" w:hAnsi="Tahoma" w:cs="Tahoma"/>
          <w:szCs w:val="24"/>
        </w:rPr>
        <w:br/>
        <w:t>kiedy Orkiestra nie wykonywała koncertów, prób, itp. Dyrektor nie zadbał nawet, aby zostało wydane zarządzenie, instrukcja wykorzystywania mienia NOD przez pracowników poza siedzibą NOD. Zgodnie z art. 100 § 2 pkt 4 kodeksu pracy w związku z art. 26a ust. 1 ustawy z dnia 25 października 199</w:t>
      </w:r>
      <w:r w:rsidR="00C35525">
        <w:rPr>
          <w:rFonts w:ascii="Tahoma" w:hAnsi="Tahoma" w:cs="Tahoma"/>
          <w:szCs w:val="24"/>
        </w:rPr>
        <w:t xml:space="preserve">1 </w:t>
      </w:r>
      <w:bookmarkStart w:id="0" w:name="_GoBack"/>
      <w:bookmarkEnd w:id="0"/>
      <w:r w:rsidRPr="003D43A9">
        <w:rPr>
          <w:rFonts w:ascii="Tahoma" w:hAnsi="Tahoma" w:cs="Tahoma"/>
          <w:szCs w:val="24"/>
        </w:rPr>
        <w:t>r. o organizowaniu i prowadzeniu działalności kulturalnej Dyrektor winien dbać o dobro zakładu pracy, chronić jego.</w:t>
      </w:r>
    </w:p>
    <w:p w:rsidR="006E16BA" w:rsidRDefault="006E16BA" w:rsidP="003D43A9">
      <w:pPr>
        <w:jc w:val="both"/>
        <w:rPr>
          <w:rFonts w:ascii="Tahoma" w:hAnsi="Tahoma" w:cs="Tahoma"/>
          <w:szCs w:val="24"/>
        </w:rPr>
      </w:pPr>
    </w:p>
    <w:p w:rsidR="003D43A9" w:rsidRPr="003D43A9" w:rsidRDefault="003D43A9" w:rsidP="003D43A9">
      <w:pPr>
        <w:jc w:val="both"/>
        <w:rPr>
          <w:rFonts w:ascii="Tahoma" w:hAnsi="Tahoma" w:cs="Tahoma"/>
          <w:szCs w:val="24"/>
        </w:rPr>
      </w:pPr>
      <w:r w:rsidRPr="003D43A9">
        <w:rPr>
          <w:rFonts w:ascii="Tahoma" w:hAnsi="Tahoma" w:cs="Tahoma"/>
          <w:szCs w:val="24"/>
        </w:rPr>
        <w:t xml:space="preserve">W orzecznictwie sądów administracyjnych wskazuje się, że ,,przepisy art. 15 ust. 6 pkt 3 </w:t>
      </w:r>
      <w:r w:rsidRPr="003D43A9">
        <w:rPr>
          <w:rFonts w:ascii="Tahoma" w:hAnsi="Tahoma" w:cs="Tahoma"/>
          <w:szCs w:val="24"/>
        </w:rPr>
        <w:br/>
        <w:t>i 4 ustawy z 1991r. o organizowaniu i prowadzeniu działalności kulturalnej pozwalają na odwołanie dyrektora instytucji kultury w przypadku naruszenia prawa i umowy przez osoby pełniąca funkcję kierownika instytucji kultury niezależnie od tego, czy takie naruszenie jest istotne czy tez nie jest to istotne naruszenie prawa" (wyrok Naczelnego Sądu Administracyjnego z dnia 17 listopada 2021 r., II OSK 3072/18).</w:t>
      </w:r>
    </w:p>
    <w:p w:rsidR="003D43A9" w:rsidRPr="003D43A9" w:rsidRDefault="003D43A9" w:rsidP="003D43A9">
      <w:pPr>
        <w:jc w:val="both"/>
        <w:rPr>
          <w:rFonts w:ascii="Tahoma" w:hAnsi="Tahoma" w:cs="Tahoma"/>
          <w:szCs w:val="24"/>
        </w:rPr>
      </w:pPr>
      <w:r w:rsidRPr="003D43A9">
        <w:rPr>
          <w:rFonts w:ascii="Tahoma" w:hAnsi="Tahoma" w:cs="Tahoma"/>
          <w:szCs w:val="24"/>
        </w:rPr>
        <w:t>W uzasadnieniu cytowanego orzeczenia wskazano, że ,,dyspozycja art. 15 ust. 6 pkt 3 ustawy o organizowaniu i prowadzeniu działalności kulturalnej nie zawiera warunku, aby naruszenie prawa miało charakter rażący bądź istotny. Wystarczające jest dla odwołania dyrektora instytucji kultury każde naruszenie prawa związane z zajmowanym stanowiskiem. Zaś z art. 15 ust. 6 pkt 4 cyt. ustawy wynika, iż ma ona zastosowanie</w:t>
      </w:r>
      <w:r w:rsidR="00154233">
        <w:rPr>
          <w:rFonts w:ascii="Tahoma" w:hAnsi="Tahoma" w:cs="Tahoma"/>
          <w:szCs w:val="24"/>
        </w:rPr>
        <w:t xml:space="preserve"> </w:t>
      </w:r>
      <w:r w:rsidRPr="003D43A9">
        <w:rPr>
          <w:rFonts w:ascii="Tahoma" w:hAnsi="Tahoma" w:cs="Tahoma"/>
          <w:szCs w:val="24"/>
        </w:rPr>
        <w:t>w przypadku odstąpienia, a więc nierealizowania postanowień umownych, do których dyrektor zobowiązuje się dobrowolnie podpisując przedmiotową umowy. Tym samym, w ocenie NSA, w świetle powyższych przepisów wystarczające jest dla odwołania dyrektora instytucji kultury każde naruszenie prawa związane z zajmowanym stanowiskiem, w tym również postanowień umowy zawartej z organizatorem.</w:t>
      </w:r>
      <w:r w:rsidR="00154233">
        <w:rPr>
          <w:rFonts w:ascii="Tahoma" w:hAnsi="Tahoma" w:cs="Tahoma"/>
          <w:szCs w:val="24"/>
        </w:rPr>
        <w:t xml:space="preserve"> </w:t>
      </w:r>
      <w:r w:rsidRPr="003D43A9">
        <w:rPr>
          <w:rFonts w:ascii="Tahoma" w:hAnsi="Tahoma" w:cs="Tahoma"/>
          <w:szCs w:val="24"/>
        </w:rPr>
        <w:t xml:space="preserve">Osoba pełniąca funkcję kierowniczą ponosi zwiększoną odpowiedzialność związaną z kierowaniem daną jednostką i naruszenie prawa może być podstawą do jej odwołania. Należy w tym miejscu jednoznacznie zaakcentować, że art. 15 ust. 6 pkt 3 i 4 ustawy pozwala na odwołanie dyrektora instytucji kultury w przypadku naruszenia prawa </w:t>
      </w:r>
      <w:r w:rsidR="009A1DC8">
        <w:rPr>
          <w:rFonts w:ascii="Tahoma" w:hAnsi="Tahoma" w:cs="Tahoma"/>
          <w:szCs w:val="24"/>
        </w:rPr>
        <w:br/>
      </w:r>
      <w:r w:rsidRPr="003D43A9">
        <w:rPr>
          <w:rFonts w:ascii="Tahoma" w:hAnsi="Tahoma" w:cs="Tahoma"/>
          <w:szCs w:val="24"/>
        </w:rPr>
        <w:t>i umowy przez osoby pełniącą funkcję kierownika instytucji kultury niezależnie od tego, czy takie naruszenie jest istotne czy tez nie jest to istotne naruszenie prawa.</w:t>
      </w:r>
    </w:p>
    <w:p w:rsidR="003D43A9" w:rsidRPr="003D43A9" w:rsidRDefault="003D43A9" w:rsidP="003D43A9">
      <w:pPr>
        <w:jc w:val="both"/>
        <w:rPr>
          <w:rFonts w:ascii="Tahoma" w:hAnsi="Tahoma" w:cs="Tahoma"/>
          <w:szCs w:val="24"/>
        </w:rPr>
      </w:pPr>
      <w:r w:rsidRPr="003D43A9">
        <w:rPr>
          <w:rFonts w:ascii="Tahoma" w:hAnsi="Tahoma" w:cs="Tahoma"/>
          <w:szCs w:val="24"/>
        </w:rPr>
        <w:t>Naruszenie przez Pana Mariusza Dziubka przepisów prawa w związku z zajmowanym stanowiskiem świadczy o tym, że nie wykonuje on należycie swoich obowiązków służbowych.</w:t>
      </w:r>
    </w:p>
    <w:p w:rsidR="003D43A9" w:rsidRPr="003D43A9" w:rsidRDefault="003D43A9" w:rsidP="003D43A9">
      <w:pPr>
        <w:jc w:val="both"/>
        <w:rPr>
          <w:rFonts w:ascii="Tahoma" w:hAnsi="Tahoma" w:cs="Tahoma"/>
          <w:szCs w:val="24"/>
        </w:rPr>
      </w:pPr>
      <w:r w:rsidRPr="003D43A9">
        <w:rPr>
          <w:rFonts w:ascii="Tahoma" w:hAnsi="Tahoma" w:cs="Tahoma"/>
          <w:noProof/>
          <w:szCs w:val="24"/>
          <w:lang w:eastAsia="pl-PL"/>
        </w:rPr>
        <mc:AlternateContent>
          <mc:Choice Requires="wps">
            <w:drawing>
              <wp:anchor distT="0" distB="0" distL="0" distR="0" simplePos="0" relativeHeight="251664384" behindDoc="0" locked="0" layoutInCell="0" allowOverlap="1" wp14:anchorId="53A3BE5F" wp14:editId="4BCB12C2">
                <wp:simplePos x="0" y="0"/>
                <wp:positionH relativeFrom="page">
                  <wp:posOffset>0</wp:posOffset>
                </wp:positionH>
                <wp:positionV relativeFrom="page">
                  <wp:posOffset>10674985</wp:posOffset>
                </wp:positionV>
                <wp:extent cx="635" cy="635"/>
                <wp:effectExtent l="0" t="0" r="0" b="0"/>
                <wp:wrapNone/>
                <wp:docPr id="11" name="Line 5"/>
                <wp:cNvGraphicFramePr/>
                <a:graphic xmlns:a="http://schemas.openxmlformats.org/drawingml/2006/main">
                  <a:graphicData uri="http://schemas.microsoft.com/office/word/2010/wordprocessingShape">
                    <wps:wsp>
                      <wps:cNvCnPr/>
                      <wps:spPr>
                        <a:xfrm>
                          <a:off x="0" y="0"/>
                          <a:ext cx="720" cy="720"/>
                        </a:xfrm>
                        <a:prstGeom prst="line">
                          <a:avLst/>
                        </a:prstGeom>
                        <a:ln w="0">
                          <a:solidFill>
                            <a:srgbClr val="C4C4C4"/>
                          </a:solidFill>
                        </a:ln>
                      </wps:spPr>
                      <wps:style>
                        <a:lnRef idx="0">
                          <a:scrgbClr r="0" g="0" b="0"/>
                        </a:lnRef>
                        <a:fillRef idx="0">
                          <a:scrgbClr r="0" g="0" b="0"/>
                        </a:fillRef>
                        <a:effectRef idx="0">
                          <a:scrgbClr r="0" g="0" b="0"/>
                        </a:effectRef>
                        <a:fontRef idx="minor"/>
                      </wps:style>
                      <wps:bodyPr/>
                    </wps:wsp>
                  </a:graphicData>
                </a:graphic>
              </wp:anchor>
            </w:drawing>
          </mc:Choice>
          <mc:Fallback>
            <w:pict>
              <v:line w14:anchorId="0FAF92BC" id="Line 5" o:spid="_x0000_s1026" style="position:absolute;z-index:251664384;visibility:visible;mso-wrap-style:square;mso-wrap-distance-left:0;mso-wrap-distance-top:0;mso-wrap-distance-right:0;mso-wrap-distance-bottom:0;mso-position-horizontal:absolute;mso-position-horizontal-relative:page;mso-position-vertical:absolute;mso-position-vertical-relative:page" from="0,840.55pt" to=".05pt,84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" o:allowincell="f" strokecolor="#c4c4c4" strokeweight="0">
                <w10:wrap anchorx="page" anchory="page"/>
              </v:line>
            </w:pict>
          </mc:Fallback>
        </mc:AlternateContent>
      </w:r>
      <w:r w:rsidRPr="003D43A9">
        <w:rPr>
          <w:rFonts w:ascii="Tahoma" w:hAnsi="Tahoma" w:cs="Tahoma"/>
          <w:noProof/>
          <w:szCs w:val="24"/>
          <w:lang w:eastAsia="pl-PL"/>
        </w:rPr>
        <mc:AlternateContent>
          <mc:Choice Requires="wps">
            <w:drawing>
              <wp:anchor distT="0" distB="0" distL="0" distR="0" simplePos="0" relativeHeight="251665408" behindDoc="0" locked="0" layoutInCell="0" allowOverlap="1" wp14:anchorId="489B8AEC" wp14:editId="122D4F89">
                <wp:simplePos x="0" y="0"/>
                <wp:positionH relativeFrom="page">
                  <wp:posOffset>0</wp:posOffset>
                </wp:positionH>
                <wp:positionV relativeFrom="page">
                  <wp:posOffset>9726930</wp:posOffset>
                </wp:positionV>
                <wp:extent cx="635" cy="0"/>
                <wp:effectExtent l="0" t="0" r="0" b="0"/>
                <wp:wrapNone/>
                <wp:docPr id="12" name="Line 4"/>
                <wp:cNvGraphicFramePr/>
                <a:graphic xmlns:a="http://schemas.openxmlformats.org/drawingml/2006/main">
                  <a:graphicData uri="http://schemas.microsoft.com/office/word/2010/wordprocessingShape">
                    <wps:wsp>
                      <wps:cNvCnPr/>
                      <wps:spPr>
                        <a:xfrm>
                          <a:off x="0" y="0"/>
                          <a:ext cx="720" cy="0"/>
                        </a:xfrm>
                        <a:prstGeom prst="line">
                          <a:avLst/>
                        </a:prstGeom>
                        <a:ln w="0">
                          <a:solidFill>
                            <a:srgbClr val="C4C4C4"/>
                          </a:solidFill>
                        </a:ln>
                      </wps:spPr>
                      <wps:style>
                        <a:lnRef idx="0">
                          <a:scrgbClr r="0" g="0" b="0"/>
                        </a:lnRef>
                        <a:fillRef idx="0">
                          <a:scrgbClr r="0" g="0" b="0"/>
                        </a:fillRef>
                        <a:effectRef idx="0">
                          <a:scrgbClr r="0" g="0" b="0"/>
                        </a:effectRef>
                        <a:fontRef idx="minor"/>
                      </wps:style>
                      <wps:bodyPr/>
                    </wps:wsp>
                  </a:graphicData>
                </a:graphic>
              </wp:anchor>
            </w:drawing>
          </mc:Choice>
          <mc:Fallback>
            <w:pict>
              <v:line w14:anchorId="17D1FFD6" id="Line 4" o:spid="_x0000_s1026" style="position:absolute;z-index:251665408;visibility:visible;mso-wrap-style:square;mso-wrap-distance-left:0;mso-wrap-distance-top:0;mso-wrap-distance-right:0;mso-wrap-distance-bottom:0;mso-position-horizontal:absolute;mso-position-horizontal-relative:page;mso-position-vertical:absolute;mso-position-vertical-relative:page" from="0,765.9pt" to=".05pt,76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" o:allowincell="f" strokecolor="#c4c4c4" strokeweight="0">
                <w10:wrap anchorx="page" anchory="page"/>
              </v:line>
            </w:pict>
          </mc:Fallback>
        </mc:AlternateContent>
      </w:r>
      <w:r w:rsidRPr="003D43A9">
        <w:rPr>
          <w:rFonts w:ascii="Tahoma" w:hAnsi="Tahoma" w:cs="Tahoma"/>
          <w:noProof/>
          <w:szCs w:val="24"/>
          <w:lang w:eastAsia="pl-PL"/>
        </w:rPr>
        <mc:AlternateContent>
          <mc:Choice Requires="wps">
            <w:drawing>
              <wp:anchor distT="0" distB="0" distL="0" distR="0" simplePos="0" relativeHeight="251666432" behindDoc="0" locked="0" layoutInCell="0" allowOverlap="1" wp14:anchorId="6F50FF67" wp14:editId="1162FAF2">
                <wp:simplePos x="0" y="0"/>
                <wp:positionH relativeFrom="page">
                  <wp:posOffset>0</wp:posOffset>
                </wp:positionH>
                <wp:positionV relativeFrom="page">
                  <wp:posOffset>9072245</wp:posOffset>
                </wp:positionV>
                <wp:extent cx="635" cy="635"/>
                <wp:effectExtent l="0" t="0" r="0" b="0"/>
                <wp:wrapNone/>
                <wp:docPr id="13" name="Line 3"/>
                <wp:cNvGraphicFramePr/>
                <a:graphic xmlns:a="http://schemas.openxmlformats.org/drawingml/2006/main">
                  <a:graphicData uri="http://schemas.microsoft.com/office/word/2010/wordprocessingShape">
                    <wps:wsp>
                      <wps:cNvCnPr/>
                      <wps:spPr>
                        <a:xfrm>
                          <a:off x="0" y="0"/>
                          <a:ext cx="720" cy="720"/>
                        </a:xfrm>
                        <a:prstGeom prst="line">
                          <a:avLst/>
                        </a:prstGeom>
                        <a:ln w="0">
                          <a:solidFill>
                            <a:srgbClr val="C4C4C4"/>
                          </a:solidFill>
                        </a:ln>
                      </wps:spPr>
                      <wps:style>
                        <a:lnRef idx="0">
                          <a:scrgbClr r="0" g="0" b="0"/>
                        </a:lnRef>
                        <a:fillRef idx="0">
                          <a:scrgbClr r="0" g="0" b="0"/>
                        </a:fillRef>
                        <a:effectRef idx="0">
                          <a:scrgbClr r="0" g="0" b="0"/>
                        </a:effectRef>
                        <a:fontRef idx="minor"/>
                      </wps:style>
                      <wps:bodyPr/>
                    </wps:wsp>
                  </a:graphicData>
                </a:graphic>
              </wp:anchor>
            </w:drawing>
          </mc:Choice>
          <mc:Fallback>
            <w:pict>
              <v:line w14:anchorId="4F1EA753" id="Line 3" o:spid="_x0000_s1026" style="position:absolute;z-index:251666432;visibility:visible;mso-wrap-style:square;mso-wrap-distance-left:0;mso-wrap-distance-top:0;mso-wrap-distance-right:0;mso-wrap-distance-bottom:0;mso-position-horizontal:absolute;mso-position-horizontal-relative:page;mso-position-vertical:absolute;mso-position-vertical-relative:page" from="0,714.35pt" to=".05pt,71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" o:allowincell="f" strokecolor="#c4c4c4" strokeweight="0">
                <w10:wrap anchorx="page" anchory="page"/>
              </v:line>
            </w:pict>
          </mc:Fallback>
        </mc:AlternateContent>
      </w:r>
      <w:r w:rsidRPr="003D43A9">
        <w:rPr>
          <w:rFonts w:ascii="Tahoma" w:hAnsi="Tahoma" w:cs="Tahoma"/>
          <w:noProof/>
          <w:szCs w:val="24"/>
          <w:lang w:eastAsia="pl-PL"/>
        </w:rPr>
        <mc:AlternateContent>
          <mc:Choice Requires="wps">
            <w:drawing>
              <wp:anchor distT="0" distB="0" distL="0" distR="0" simplePos="0" relativeHeight="251667456" behindDoc="0" locked="0" layoutInCell="0" allowOverlap="1" wp14:anchorId="1D41D861" wp14:editId="0216B924">
                <wp:simplePos x="0" y="0"/>
                <wp:positionH relativeFrom="page">
                  <wp:posOffset>0</wp:posOffset>
                </wp:positionH>
                <wp:positionV relativeFrom="page">
                  <wp:posOffset>6544310</wp:posOffset>
                </wp:positionV>
                <wp:extent cx="635" cy="635"/>
                <wp:effectExtent l="0" t="0" r="0" b="0"/>
                <wp:wrapNone/>
                <wp:docPr id="14" name="Line 2"/>
                <wp:cNvGraphicFramePr/>
                <a:graphic xmlns:a="http://schemas.openxmlformats.org/drawingml/2006/main">
                  <a:graphicData uri="http://schemas.microsoft.com/office/word/2010/wordprocessingShape">
                    <wps:wsp>
                      <wps:cNvCnPr/>
                      <wps:spPr>
                        <a:xfrm>
                          <a:off x="0" y="0"/>
                          <a:ext cx="720" cy="720"/>
                        </a:xfrm>
                        <a:prstGeom prst="line">
                          <a:avLst/>
                        </a:prstGeom>
                        <a:ln w="0">
                          <a:solidFill>
                            <a:srgbClr val="C4C4C4"/>
                          </a:solidFill>
                        </a:ln>
                      </wps:spPr>
                      <wps:style>
                        <a:lnRef idx="0">
                          <a:scrgbClr r="0" g="0" b="0"/>
                        </a:lnRef>
                        <a:fillRef idx="0">
                          <a:scrgbClr r="0" g="0" b="0"/>
                        </a:fillRef>
                        <a:effectRef idx="0">
                          <a:scrgbClr r="0" g="0" b="0"/>
                        </a:effectRef>
                        <a:fontRef idx="minor"/>
                      </wps:style>
                      <wps:bodyPr/>
                    </wps:wsp>
                  </a:graphicData>
                </a:graphic>
              </wp:anchor>
            </w:drawing>
          </mc:Choice>
          <mc:Fallback>
            <w:pict>
              <v:line w14:anchorId="39A7C946" id="Line 2" o:spid="_x0000_s1026" style="position:absolute;z-index:251667456;visibility:visible;mso-wrap-style:square;mso-wrap-distance-left:0;mso-wrap-distance-top:0;mso-wrap-distance-right:0;mso-wrap-distance-bottom:0;mso-position-horizontal:absolute;mso-position-horizontal-relative:page;mso-position-vertical:absolute;mso-position-vertical-relative:page" from="0,515.3pt" to=".05pt,5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" o:allowincell="f" strokecolor="#c4c4c4" strokeweight="0">
                <w10:wrap anchorx="page" anchory="page"/>
              </v:line>
            </w:pict>
          </mc:Fallback>
        </mc:AlternateContent>
      </w:r>
      <w:r w:rsidRPr="003D43A9">
        <w:rPr>
          <w:rFonts w:ascii="Tahoma" w:hAnsi="Tahoma" w:cs="Tahoma"/>
          <w:szCs w:val="24"/>
        </w:rPr>
        <w:t>,,Wójt (burmistrz, prezydent miasta), który jest kierownikiem urzędu, wykonuje uprawnienia zwierzchnika służbowego w stosunku do pracowników urzędu</w:t>
      </w:r>
      <w:r w:rsidR="006E16BA">
        <w:rPr>
          <w:rFonts w:ascii="Tahoma" w:hAnsi="Tahoma" w:cs="Tahoma"/>
          <w:szCs w:val="24"/>
        </w:rPr>
        <w:t xml:space="preserve"> </w:t>
      </w:r>
      <w:r w:rsidRPr="003D43A9">
        <w:rPr>
          <w:rFonts w:ascii="Tahoma" w:hAnsi="Tahoma" w:cs="Tahoma"/>
          <w:szCs w:val="24"/>
        </w:rPr>
        <w:t>oraz kierowników gminnych jednostek organizacyjnych. Ma on również prawo zwolnić</w:t>
      </w:r>
      <w:r w:rsidR="006E16BA">
        <w:rPr>
          <w:rFonts w:ascii="Tahoma" w:hAnsi="Tahoma" w:cs="Tahoma"/>
          <w:szCs w:val="24"/>
        </w:rPr>
        <w:t xml:space="preserve"> </w:t>
      </w:r>
      <w:r w:rsidRPr="003D43A9">
        <w:rPr>
          <w:rFonts w:ascii="Tahoma" w:hAnsi="Tahoma" w:cs="Tahoma"/>
          <w:szCs w:val="24"/>
        </w:rPr>
        <w:t>z zajmowanego stanowiska dyrektora kultury, jeśli istnieją ku temu uzasadnione powody" (wyrok Wojewódzkiego Sądu Administracyjnego w Poznaniu z dnia 23 kwietnia 2015r.,</w:t>
      </w:r>
      <w:r w:rsidR="006E16BA">
        <w:rPr>
          <w:rFonts w:ascii="Tahoma" w:hAnsi="Tahoma" w:cs="Tahoma"/>
          <w:szCs w:val="24"/>
        </w:rPr>
        <w:t xml:space="preserve"> </w:t>
      </w:r>
      <w:r w:rsidRPr="003D43A9">
        <w:rPr>
          <w:rFonts w:ascii="Tahoma" w:hAnsi="Tahoma" w:cs="Tahoma"/>
          <w:szCs w:val="24"/>
        </w:rPr>
        <w:t>IV SA/Po 1320/14).</w:t>
      </w:r>
    </w:p>
    <w:p w:rsidR="003D43A9" w:rsidRPr="003D43A9" w:rsidRDefault="003D43A9" w:rsidP="003D43A9">
      <w:pPr>
        <w:jc w:val="both"/>
        <w:rPr>
          <w:rFonts w:ascii="Tahoma" w:hAnsi="Tahoma" w:cs="Tahoma"/>
          <w:szCs w:val="24"/>
        </w:rPr>
      </w:pPr>
      <w:r w:rsidRPr="003D43A9">
        <w:rPr>
          <w:rFonts w:ascii="Tahoma" w:hAnsi="Tahoma" w:cs="Tahoma"/>
          <w:szCs w:val="24"/>
        </w:rPr>
        <w:t>Naruszenie przepisów prawa w związku z zajmowanym stanowiskiem oraz nadużycia nie dają rękojmi należytego działania Pana Mariusza Dziubka dla dobra instytucji kultury</w:t>
      </w:r>
      <w:r w:rsidRPr="003D43A9">
        <w:rPr>
          <w:rFonts w:ascii="Tahoma" w:hAnsi="Tahoma" w:cs="Tahoma"/>
          <w:szCs w:val="24"/>
        </w:rPr>
        <w:br/>
        <w:t xml:space="preserve">i współpracy z jednostką samorządu terytorialnego (z organizatorem). Skutkiem stwierdzonych naruszeń jest całkowita utrata zaufania organizatora instytucji kultury </w:t>
      </w:r>
      <w:r w:rsidRPr="003D43A9">
        <w:rPr>
          <w:rFonts w:ascii="Tahoma" w:hAnsi="Tahoma" w:cs="Tahoma"/>
          <w:szCs w:val="24"/>
        </w:rPr>
        <w:br/>
        <w:t xml:space="preserve">do Pana Mariusza Dziubka, a co za tym idzie niemożność dalszej współpracy </w:t>
      </w:r>
      <w:r w:rsidRPr="003D43A9">
        <w:rPr>
          <w:rFonts w:ascii="Tahoma" w:hAnsi="Tahoma" w:cs="Tahoma"/>
          <w:szCs w:val="24"/>
        </w:rPr>
        <w:br/>
        <w:t>oraz konieczność usunięcia nieprawidłowości i zapewnienia prawidłowego funkcjonowania Narodowej Orkiestry Dętej z siedzibą w Lubinie.</w:t>
      </w:r>
    </w:p>
    <w:p w:rsidR="003D43A9" w:rsidRPr="003D43A9" w:rsidRDefault="003D43A9" w:rsidP="003D43A9">
      <w:pPr>
        <w:jc w:val="both"/>
        <w:rPr>
          <w:rFonts w:ascii="Tahoma" w:hAnsi="Tahoma" w:cs="Tahoma"/>
          <w:szCs w:val="24"/>
        </w:rPr>
      </w:pPr>
      <w:r w:rsidRPr="003D43A9">
        <w:rPr>
          <w:rFonts w:ascii="Tahoma" w:hAnsi="Tahoma" w:cs="Tahoma"/>
          <w:szCs w:val="24"/>
        </w:rPr>
        <w:t>Mając powyższe na uwadze wydanie niniejszego zarządzenia jest konieczne i uzasadnione.</w:t>
      </w:r>
    </w:p>
    <w:p w:rsidR="003D43A9" w:rsidRPr="003D43A9" w:rsidRDefault="003D43A9" w:rsidP="003D43A9">
      <w:pPr>
        <w:ind w:left="360"/>
        <w:jc w:val="both"/>
        <w:rPr>
          <w:rFonts w:ascii="Tahoma" w:hAnsi="Tahoma" w:cs="Tahoma"/>
          <w:szCs w:val="24"/>
        </w:rPr>
      </w:pPr>
    </w:p>
    <w:p w:rsidR="003D43A9" w:rsidRPr="00154233" w:rsidRDefault="003D43A9" w:rsidP="003D43A9">
      <w:pPr>
        <w:spacing w:after="0" w:line="276" w:lineRule="auto"/>
        <w:ind w:left="4956"/>
        <w:rPr>
          <w:rFonts w:ascii="Tahoma" w:hAnsi="Tahoma" w:cs="Tahoma"/>
        </w:rPr>
      </w:pPr>
      <w:r w:rsidRPr="00154233">
        <w:rPr>
          <w:rFonts w:ascii="Tahoma" w:hAnsi="Tahoma" w:cs="Tahoma"/>
        </w:rPr>
        <w:t>z up. PREZYDENTA MIASTA</w:t>
      </w:r>
    </w:p>
    <w:p w:rsidR="003D43A9" w:rsidRPr="00154233" w:rsidRDefault="003D43A9" w:rsidP="003D43A9">
      <w:pPr>
        <w:spacing w:line="276" w:lineRule="auto"/>
        <w:ind w:left="4956"/>
        <w:rPr>
          <w:rFonts w:ascii="Tahoma" w:hAnsi="Tahoma" w:cs="Tahoma"/>
        </w:rPr>
      </w:pPr>
      <w:r w:rsidRPr="00154233">
        <w:rPr>
          <w:rFonts w:ascii="Tahoma" w:hAnsi="Tahoma" w:cs="Tahoma"/>
        </w:rPr>
        <w:t>/-/ Tomasz Ochocki</w:t>
      </w:r>
      <w:bookmarkStart w:id="1" w:name="page44R_mcid32"/>
      <w:bookmarkEnd w:id="1"/>
      <w:r w:rsidRPr="00154233">
        <w:rPr>
          <w:rFonts w:ascii="Tahoma" w:hAnsi="Tahoma" w:cs="Tahoma"/>
        </w:rPr>
        <w:br/>
        <w:t>Sekretarz Miasta</w:t>
      </w:r>
    </w:p>
    <w:p w:rsidR="003D43A9" w:rsidRPr="002B6A4F" w:rsidRDefault="003D43A9" w:rsidP="003D43A9">
      <w:pPr>
        <w:ind w:left="360"/>
        <w:jc w:val="both"/>
        <w:rPr>
          <w:sz w:val="24"/>
          <w:szCs w:val="24"/>
        </w:rPr>
      </w:pPr>
    </w:p>
    <w:p w:rsidR="00517033" w:rsidRDefault="00517033" w:rsidP="00517033">
      <w:pPr>
        <w:pStyle w:val="Standard"/>
        <w:tabs>
          <w:tab w:val="left" w:pos="945"/>
        </w:tabs>
        <w:spacing w:line="276" w:lineRule="auto"/>
        <w:ind w:left="225" w:hanging="225"/>
      </w:pPr>
    </w:p>
    <w:sectPr w:rsidR="00517033">
      <w:pgSz w:w="11906" w:h="16838"/>
      <w:pgMar w:top="1417" w:right="1417" w:bottom="1417" w:left="1417" w:header="0" w:footer="0" w:gutter="0"/>
      <w:cols w:space="708"/>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PJAUQS+TimesNewRomanPSMT">
    <w:altName w:val="Times New Roman"/>
    <w:charset w:val="EE"/>
    <w:family w:val="roman"/>
    <w:pitch w:val="variable"/>
  </w:font>
  <w:font w:name="Liberation Sans">
    <w:panose1 w:val="020B0604020202020204"/>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ndale Sans UI">
    <w:altName w:val="Times New Roman"/>
    <w:charset w:val="00"/>
    <w:family w:val="auto"/>
    <w:pitch w:val="variable"/>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F62629"/>
    <w:multiLevelType w:val="multilevel"/>
    <w:tmpl w:val="6F2C5BC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5401FB2"/>
    <w:multiLevelType w:val="multilevel"/>
    <w:tmpl w:val="6D2EE9AA"/>
    <w:lvl w:ilvl="0">
      <w:start w:val="1"/>
      <w:numFmt w:val="none"/>
      <w:pStyle w:val="Nagwek1"/>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4B5E1641"/>
    <w:multiLevelType w:val="hybridMultilevel"/>
    <w:tmpl w:val="00983E04"/>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4F925B52"/>
    <w:multiLevelType w:val="multilevel"/>
    <w:tmpl w:val="34D65696"/>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699A035E"/>
    <w:multiLevelType w:val="multilevel"/>
    <w:tmpl w:val="95067F86"/>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 w15:restartNumberingAfterBreak="0">
    <w:nsid w:val="74401F14"/>
    <w:multiLevelType w:val="hybridMultilevel"/>
    <w:tmpl w:val="FA04F45E"/>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0"/>
  </w:num>
  <w:num w:numId="2">
    <w:abstractNumId w:val="3"/>
  </w:num>
  <w:num w:numId="3">
    <w:abstractNumId w:val="1"/>
  </w:num>
  <w:num w:numId="4">
    <w:abstractNumId w:val="4"/>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7D88"/>
    <w:rsid w:val="00061BA0"/>
    <w:rsid w:val="000B44FA"/>
    <w:rsid w:val="00154233"/>
    <w:rsid w:val="002456CC"/>
    <w:rsid w:val="003D43A9"/>
    <w:rsid w:val="00405450"/>
    <w:rsid w:val="00517033"/>
    <w:rsid w:val="00561133"/>
    <w:rsid w:val="00644B13"/>
    <w:rsid w:val="006E16BA"/>
    <w:rsid w:val="007A0FCD"/>
    <w:rsid w:val="00907D88"/>
    <w:rsid w:val="009A1DC8"/>
    <w:rsid w:val="00C35525"/>
    <w:rsid w:val="00D74966"/>
    <w:rsid w:val="00E405CA"/>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E08C5E4-C161-4B37-A8AF-527FAB19BC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Cs w:val="22"/>
        <w:lang w:val="pl-PL"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160" w:line="259" w:lineRule="auto"/>
    </w:pPr>
    <w:rPr>
      <w:color w:val="00000A"/>
      <w:sz w:val="22"/>
    </w:rPr>
  </w:style>
  <w:style w:type="paragraph" w:styleId="Nagwek1">
    <w:name w:val="heading 1"/>
    <w:basedOn w:val="Normalny"/>
    <w:next w:val="Normalny"/>
    <w:link w:val="Nagwek1Znak"/>
    <w:qFormat/>
    <w:rsid w:val="00E405CA"/>
    <w:pPr>
      <w:keepNext/>
      <w:numPr>
        <w:numId w:val="3"/>
      </w:numPr>
      <w:suppressAutoHyphens/>
      <w:spacing w:after="0" w:line="240" w:lineRule="auto"/>
      <w:jc w:val="center"/>
      <w:outlineLvl w:val="0"/>
    </w:pPr>
    <w:rPr>
      <w:rFonts w:ascii="Times New Roman" w:eastAsia="Times New Roman" w:hAnsi="Times New Roman" w:cs="Times New Roman"/>
      <w:b/>
      <w:bCs/>
      <w:sz w:val="28"/>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ListLabel1">
    <w:name w:val="ListLabel 1"/>
    <w:qFormat/>
    <w:rPr>
      <w:rFonts w:ascii="PJAUQS+TimesNewRomanPSMT" w:hAnsi="PJAUQS+TimesNewRomanPSMT"/>
      <w:color w:val="000000"/>
      <w:sz w:val="23"/>
    </w:rPr>
  </w:style>
  <w:style w:type="character" w:customStyle="1" w:styleId="ListLabel2">
    <w:name w:val="ListLabel 2"/>
    <w:qFormat/>
    <w:rPr>
      <w:rFonts w:ascii="PJAUQS+TimesNewRomanPSMT" w:hAnsi="PJAUQS+TimesNewRomanPSMT"/>
      <w:color w:val="000000"/>
      <w:sz w:val="23"/>
    </w:rPr>
  </w:style>
  <w:style w:type="paragraph" w:styleId="Nagwek">
    <w:name w:val="header"/>
    <w:basedOn w:val="Normalny"/>
    <w:next w:val="Tekstpodstawowy"/>
    <w:qFormat/>
    <w:pPr>
      <w:keepNext/>
      <w:spacing w:before="240" w:after="120"/>
    </w:pPr>
    <w:rPr>
      <w:rFonts w:ascii="Liberation Sans" w:eastAsia="Microsoft YaHei" w:hAnsi="Liberation Sans" w:cs="Arial"/>
      <w:sz w:val="28"/>
      <w:szCs w:val="28"/>
    </w:rPr>
  </w:style>
  <w:style w:type="paragraph" w:styleId="Tekstpodstawowy">
    <w:name w:val="Body Text"/>
    <w:basedOn w:val="Normalny"/>
    <w:pPr>
      <w:spacing w:after="140" w:line="288" w:lineRule="auto"/>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customStyle="1" w:styleId="Default">
    <w:name w:val="Default"/>
    <w:qFormat/>
    <w:rsid w:val="007457BF"/>
    <w:rPr>
      <w:rFonts w:ascii="Tahoma" w:eastAsia="Calibri" w:hAnsi="Tahoma" w:cs="Tahoma"/>
      <w:color w:val="000000"/>
      <w:sz w:val="24"/>
      <w:szCs w:val="24"/>
    </w:rPr>
  </w:style>
  <w:style w:type="character" w:customStyle="1" w:styleId="Nagwek1Znak">
    <w:name w:val="Nagłówek 1 Znak"/>
    <w:basedOn w:val="Domylnaczcionkaakapitu"/>
    <w:link w:val="Nagwek1"/>
    <w:rsid w:val="00E405CA"/>
    <w:rPr>
      <w:rFonts w:ascii="Times New Roman" w:eastAsia="Times New Roman" w:hAnsi="Times New Roman" w:cs="Times New Roman"/>
      <w:b/>
      <w:bCs/>
      <w:color w:val="00000A"/>
      <w:sz w:val="28"/>
      <w:szCs w:val="20"/>
      <w:lang w:eastAsia="ar-SA"/>
    </w:rPr>
  </w:style>
  <w:style w:type="paragraph" w:styleId="Bezodstpw">
    <w:name w:val="No Spacing"/>
    <w:qFormat/>
    <w:rsid w:val="00E405CA"/>
    <w:pPr>
      <w:suppressAutoHyphens/>
    </w:pPr>
    <w:rPr>
      <w:rFonts w:cs="Calibri"/>
      <w:color w:val="00000A"/>
      <w:sz w:val="22"/>
      <w:lang w:eastAsia="zh-CN"/>
    </w:rPr>
  </w:style>
  <w:style w:type="paragraph" w:customStyle="1" w:styleId="Standard">
    <w:name w:val="Standard"/>
    <w:qFormat/>
    <w:rsid w:val="00517033"/>
    <w:pPr>
      <w:suppressAutoHyphens/>
    </w:pPr>
    <w:rPr>
      <w:rFonts w:ascii="Times New Roman" w:eastAsia="Andale Sans UI" w:hAnsi="Times New Roman" w:cs="Tahoma"/>
      <w:sz w:val="24"/>
      <w:szCs w:val="24"/>
      <w:lang w:val="de-DE" w:eastAsia="ja-JP" w:bidi="fa-IR"/>
    </w:rPr>
  </w:style>
  <w:style w:type="paragraph" w:styleId="Akapitzlist">
    <w:name w:val="List Paragraph"/>
    <w:basedOn w:val="Normalny"/>
    <w:uiPriority w:val="1"/>
    <w:qFormat/>
    <w:rsid w:val="003D43A9"/>
    <w:pPr>
      <w:widowControl w:val="0"/>
      <w:suppressAutoHyphens/>
      <w:spacing w:after="0" w:line="240" w:lineRule="auto"/>
      <w:ind w:left="598" w:hanging="425"/>
    </w:pPr>
    <w:rPr>
      <w:rFonts w:ascii="Times New Roman" w:eastAsia="Times New Roman" w:hAnsi="Times New Roman" w:cs="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71</TotalTime>
  <Pages>8</Pages>
  <Words>3473</Words>
  <Characters>20843</Characters>
  <Application>Microsoft Office Word</Application>
  <DocSecurity>0</DocSecurity>
  <Lines>173</Lines>
  <Paragraphs>48</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24268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Barbara Komarnicka</dc:creator>
  <dc:description/>
  <cp:lastModifiedBy>Krzysztof Szumlakowski</cp:lastModifiedBy>
  <cp:revision>14</cp:revision>
  <cp:lastPrinted>2023-02-21T12:16:00Z</cp:lastPrinted>
  <dcterms:created xsi:type="dcterms:W3CDTF">2023-02-20T11:21:00Z</dcterms:created>
  <dcterms:modified xsi:type="dcterms:W3CDTF">2023-03-09T12:23:00Z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