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97C" w:rsidRPr="00BF4A3F" w:rsidRDefault="009D6B7E" w:rsidP="003F36DC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P.0050.50.</w:t>
      </w:r>
      <w:r w:rsidR="00C46A60" w:rsidRPr="00BF4A3F">
        <w:rPr>
          <w:rFonts w:ascii="Tahoma" w:hAnsi="Tahoma" w:cs="Tahoma"/>
          <w:b/>
        </w:rPr>
        <w:t>2023</w:t>
      </w:r>
    </w:p>
    <w:p w:rsidR="00C46A60" w:rsidRPr="00BF4A3F" w:rsidRDefault="00C46A60" w:rsidP="003F36DC">
      <w:pPr>
        <w:spacing w:after="0"/>
        <w:jc w:val="center"/>
        <w:rPr>
          <w:rFonts w:ascii="Tahoma" w:hAnsi="Tahoma" w:cs="Tahoma"/>
          <w:b/>
        </w:rPr>
      </w:pPr>
      <w:r w:rsidRPr="00BF4A3F">
        <w:rPr>
          <w:rFonts w:ascii="Tahoma" w:hAnsi="Tahoma" w:cs="Tahoma"/>
          <w:b/>
        </w:rPr>
        <w:t>PREZYDENTA MIASTA LUBINA</w:t>
      </w:r>
    </w:p>
    <w:p w:rsidR="00C46A60" w:rsidRPr="00BF4A3F" w:rsidRDefault="008B09D0" w:rsidP="003F36DC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21</w:t>
      </w:r>
      <w:r w:rsidR="00C46A60" w:rsidRPr="00BF4A3F">
        <w:rPr>
          <w:rFonts w:ascii="Tahoma" w:hAnsi="Tahoma" w:cs="Tahoma"/>
          <w:b/>
        </w:rPr>
        <w:t xml:space="preserve"> </w:t>
      </w:r>
      <w:r w:rsidR="003F36DC">
        <w:rPr>
          <w:rFonts w:ascii="Tahoma" w:hAnsi="Tahoma" w:cs="Tahoma"/>
          <w:b/>
        </w:rPr>
        <w:t>LUTEGO</w:t>
      </w:r>
      <w:r w:rsidR="00C46A60" w:rsidRPr="00BF4A3F">
        <w:rPr>
          <w:rFonts w:ascii="Tahoma" w:hAnsi="Tahoma" w:cs="Tahoma"/>
          <w:b/>
        </w:rPr>
        <w:t xml:space="preserve"> 2023</w:t>
      </w:r>
    </w:p>
    <w:p w:rsidR="00B83158" w:rsidRDefault="00C46A60" w:rsidP="003F36DC">
      <w:pPr>
        <w:spacing w:after="0"/>
        <w:jc w:val="center"/>
        <w:rPr>
          <w:rFonts w:ascii="Tahoma" w:hAnsi="Tahoma" w:cs="Tahoma"/>
          <w:b/>
        </w:rPr>
      </w:pPr>
      <w:r w:rsidRPr="00BF4A3F">
        <w:rPr>
          <w:rFonts w:ascii="Tahoma" w:hAnsi="Tahoma" w:cs="Tahoma"/>
          <w:b/>
        </w:rPr>
        <w:t xml:space="preserve"> </w:t>
      </w:r>
    </w:p>
    <w:p w:rsidR="00C46A60" w:rsidRPr="00BF4A3F" w:rsidRDefault="00BF4A3F" w:rsidP="00B83158">
      <w:pPr>
        <w:spacing w:after="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</w:t>
      </w:r>
      <w:r w:rsidR="00C46A60" w:rsidRPr="00BF4A3F">
        <w:rPr>
          <w:rFonts w:ascii="Tahoma" w:hAnsi="Tahoma" w:cs="Tahoma"/>
          <w:b/>
        </w:rPr>
        <w:t xml:space="preserve"> </w:t>
      </w:r>
      <w:r w:rsidR="008076EE">
        <w:rPr>
          <w:rFonts w:ascii="Tahoma" w:hAnsi="Tahoma" w:cs="Tahoma"/>
          <w:b/>
        </w:rPr>
        <w:t>sprawie zbycia lokali mieszkalnych na rzecz dotychczasowych najemców</w:t>
      </w:r>
    </w:p>
    <w:p w:rsidR="00C46A60" w:rsidRDefault="00C46A60" w:rsidP="003F36DC">
      <w:pPr>
        <w:spacing w:after="0"/>
        <w:jc w:val="center"/>
        <w:rPr>
          <w:rFonts w:ascii="Tahoma" w:hAnsi="Tahoma" w:cs="Tahoma"/>
        </w:rPr>
      </w:pPr>
    </w:p>
    <w:p w:rsidR="00C46A60" w:rsidRPr="00E0177D" w:rsidRDefault="00C46A60" w:rsidP="003F36DC">
      <w:pPr>
        <w:spacing w:after="0"/>
        <w:jc w:val="both"/>
        <w:rPr>
          <w:rFonts w:ascii="Tahoma" w:eastAsia="Times New Roman" w:hAnsi="Tahoma" w:cs="Tahoma"/>
        </w:rPr>
      </w:pPr>
      <w:r w:rsidRPr="00E0177D">
        <w:rPr>
          <w:rFonts w:ascii="Tahoma" w:hAnsi="Tahoma" w:cs="Tahoma"/>
        </w:rPr>
        <w:t>Na podstawie art. 30 ust. 1 i ust. 2 pkt 3) ustawy z dnia 8 marca 1990 r. o samorządzie gminnym (</w:t>
      </w:r>
      <w:proofErr w:type="spellStart"/>
      <w:r w:rsidRPr="00E0177D">
        <w:rPr>
          <w:rFonts w:ascii="Tahoma" w:hAnsi="Tahoma" w:cs="Tahoma"/>
        </w:rPr>
        <w:t>t.j</w:t>
      </w:r>
      <w:proofErr w:type="spellEnd"/>
      <w:r w:rsidRPr="00E0177D">
        <w:rPr>
          <w:rFonts w:ascii="Tahoma" w:hAnsi="Tahoma" w:cs="Tahoma"/>
        </w:rPr>
        <w:t xml:space="preserve">. Dz. U. z 2023 r. poz. 40), art. 11 ust. 1 , art. 13 ust. 1, art. 25 ust. 1, art. 34, art. 37 ust. 2 pkt 1 ustawy z dnia 21 sierpnia 1997 r. o gospodarce nieruchomościami </w:t>
      </w:r>
      <w:r w:rsidR="00B83158">
        <w:rPr>
          <w:rFonts w:ascii="Tahoma" w:hAnsi="Tahoma" w:cs="Tahoma"/>
        </w:rPr>
        <w:br/>
      </w:r>
      <w:r w:rsidRPr="00E0177D">
        <w:rPr>
          <w:rFonts w:ascii="Tahoma" w:hAnsi="Tahoma" w:cs="Tahoma"/>
        </w:rPr>
        <w:t>(</w:t>
      </w:r>
      <w:proofErr w:type="spellStart"/>
      <w:r w:rsidRPr="00E0177D">
        <w:rPr>
          <w:rFonts w:ascii="Tahoma" w:hAnsi="Tahoma" w:cs="Tahoma"/>
        </w:rPr>
        <w:t>t.j</w:t>
      </w:r>
      <w:proofErr w:type="spellEnd"/>
      <w:r w:rsidRPr="00E0177D">
        <w:rPr>
          <w:rFonts w:ascii="Tahoma" w:hAnsi="Tahoma" w:cs="Tahoma"/>
        </w:rPr>
        <w:t>. Dz. U. z</w:t>
      </w:r>
      <w:r w:rsidR="003F36DC">
        <w:rPr>
          <w:rFonts w:ascii="Tahoma" w:hAnsi="Tahoma" w:cs="Tahoma"/>
        </w:rPr>
        <w:t xml:space="preserve"> 2021 r. poz. 1899 z </w:t>
      </w:r>
      <w:proofErr w:type="spellStart"/>
      <w:r w:rsidR="003F36DC">
        <w:rPr>
          <w:rFonts w:ascii="Tahoma" w:hAnsi="Tahoma" w:cs="Tahoma"/>
        </w:rPr>
        <w:t>późn</w:t>
      </w:r>
      <w:proofErr w:type="spellEnd"/>
      <w:r w:rsidR="003F36DC">
        <w:rPr>
          <w:rFonts w:ascii="Tahoma" w:hAnsi="Tahoma" w:cs="Tahoma"/>
        </w:rPr>
        <w:t>. zm.)</w:t>
      </w:r>
      <w:r w:rsidRPr="00E0177D">
        <w:rPr>
          <w:rFonts w:ascii="Tahoma" w:hAnsi="Tahoma" w:cs="Tahoma"/>
        </w:rPr>
        <w:t>,</w:t>
      </w:r>
      <w:r w:rsidR="00B83158">
        <w:rPr>
          <w:rFonts w:ascii="Tahoma" w:hAnsi="Tahoma" w:cs="Tahoma"/>
        </w:rPr>
        <w:t xml:space="preserve"> </w:t>
      </w:r>
      <w:r w:rsidRPr="00E0177D">
        <w:rPr>
          <w:rFonts w:ascii="Tahoma" w:eastAsia="Times New Roman" w:hAnsi="Tahoma" w:cs="Tahoma"/>
        </w:rPr>
        <w:t>§ 14 ust. 1, §</w:t>
      </w:r>
      <w:r w:rsidR="00E0177D">
        <w:rPr>
          <w:rFonts w:ascii="Tahoma" w:eastAsia="Times New Roman" w:hAnsi="Tahoma" w:cs="Tahoma"/>
        </w:rPr>
        <w:t xml:space="preserve"> </w:t>
      </w:r>
      <w:r w:rsidRPr="00E0177D">
        <w:rPr>
          <w:rFonts w:ascii="Tahoma" w:eastAsia="Times New Roman" w:hAnsi="Tahoma" w:cs="Tahoma"/>
        </w:rPr>
        <w:t>16 załącznik</w:t>
      </w:r>
      <w:r w:rsidR="00E0177D">
        <w:rPr>
          <w:rFonts w:ascii="Tahoma" w:eastAsia="Times New Roman" w:hAnsi="Tahoma" w:cs="Tahoma"/>
        </w:rPr>
        <w:t>a</w:t>
      </w:r>
      <w:r w:rsidRPr="00E0177D">
        <w:rPr>
          <w:rFonts w:ascii="Tahoma" w:eastAsia="Times New Roman" w:hAnsi="Tahoma" w:cs="Tahoma"/>
        </w:rPr>
        <w:t xml:space="preserve"> do uchwały Nr V/37/2003 Rady Miejskiej w Lub</w:t>
      </w:r>
      <w:r w:rsidR="00F975B2">
        <w:rPr>
          <w:rFonts w:ascii="Tahoma" w:eastAsia="Times New Roman" w:hAnsi="Tahoma" w:cs="Tahoma"/>
        </w:rPr>
        <w:t>i</w:t>
      </w:r>
      <w:r w:rsidRPr="00E0177D">
        <w:rPr>
          <w:rFonts w:ascii="Tahoma" w:eastAsia="Times New Roman" w:hAnsi="Tahoma" w:cs="Tahoma"/>
        </w:rPr>
        <w:t>nie z dnia 14 stycznia 2003 r. w sprawie zasad gospodarowania nieruchomościami stanowiącymi własność</w:t>
      </w:r>
      <w:r w:rsidR="00E0177D">
        <w:rPr>
          <w:rFonts w:ascii="Tahoma" w:eastAsia="Times New Roman" w:hAnsi="Tahoma" w:cs="Tahoma"/>
        </w:rPr>
        <w:t xml:space="preserve"> Gminy Miejskiej </w:t>
      </w:r>
      <w:r w:rsidRPr="00E0177D">
        <w:rPr>
          <w:rFonts w:ascii="Tahoma" w:eastAsia="Times New Roman" w:hAnsi="Tahoma" w:cs="Tahoma"/>
        </w:rPr>
        <w:t xml:space="preserve">Lubin (Dz. Urz. Woj. Dolnośląskiego nr 13, poz. 330, z </w:t>
      </w:r>
      <w:proofErr w:type="spellStart"/>
      <w:r w:rsidRPr="00E0177D">
        <w:rPr>
          <w:rFonts w:ascii="Tahoma" w:eastAsia="Times New Roman" w:hAnsi="Tahoma" w:cs="Tahoma"/>
        </w:rPr>
        <w:t>późn</w:t>
      </w:r>
      <w:proofErr w:type="spellEnd"/>
      <w:r w:rsidRPr="00E0177D">
        <w:rPr>
          <w:rFonts w:ascii="Tahoma" w:eastAsia="Times New Roman" w:hAnsi="Tahoma" w:cs="Tahoma"/>
        </w:rPr>
        <w:t xml:space="preserve">. </w:t>
      </w:r>
      <w:proofErr w:type="spellStart"/>
      <w:r w:rsidRPr="00E0177D">
        <w:rPr>
          <w:rFonts w:ascii="Tahoma" w:eastAsia="Times New Roman" w:hAnsi="Tahoma" w:cs="Tahoma"/>
        </w:rPr>
        <w:t>zm</w:t>
      </w:r>
      <w:proofErr w:type="spellEnd"/>
      <w:r w:rsidRPr="00E0177D">
        <w:rPr>
          <w:rFonts w:ascii="Tahoma" w:eastAsia="Times New Roman" w:hAnsi="Tahoma" w:cs="Tahoma"/>
        </w:rPr>
        <w:t>) oraz Zarządzenia Nr 41 Prezydenta Miasta Lubina z dnia</w:t>
      </w:r>
      <w:r w:rsidR="00B83158">
        <w:rPr>
          <w:rFonts w:ascii="Tahoma" w:eastAsia="Times New Roman" w:hAnsi="Tahoma" w:cs="Tahoma"/>
        </w:rPr>
        <w:t xml:space="preserve"> </w:t>
      </w:r>
      <w:r w:rsidRPr="00E0177D">
        <w:rPr>
          <w:rFonts w:ascii="Tahoma" w:eastAsia="Times New Roman" w:hAnsi="Tahoma" w:cs="Tahoma"/>
        </w:rPr>
        <w:t>22 sierpnia 2019 r. w sprawie powierzenia prowadzenia spraw i wykonywania czynności, w tym praw</w:t>
      </w:r>
      <w:r w:rsidR="00B83158">
        <w:rPr>
          <w:rFonts w:ascii="Tahoma" w:eastAsia="Times New Roman" w:hAnsi="Tahoma" w:cs="Tahoma"/>
        </w:rPr>
        <w:t xml:space="preserve"> </w:t>
      </w:r>
      <w:r w:rsidRPr="00E0177D">
        <w:rPr>
          <w:rFonts w:ascii="Tahoma" w:eastAsia="Times New Roman" w:hAnsi="Tahoma" w:cs="Tahoma"/>
        </w:rPr>
        <w:t xml:space="preserve">i obowiązków </w:t>
      </w:r>
      <w:r w:rsidRPr="00E0177D">
        <w:rPr>
          <w:rFonts w:ascii="Tahoma" w:eastAsia="Times New Roman" w:hAnsi="Tahoma" w:cs="Tahoma"/>
          <w:spacing w:val="30"/>
        </w:rPr>
        <w:t>postanawiam</w:t>
      </w:r>
      <w:r w:rsidRPr="00E0177D">
        <w:rPr>
          <w:rFonts w:ascii="Tahoma" w:eastAsia="Times New Roman" w:hAnsi="Tahoma" w:cs="Tahoma"/>
        </w:rPr>
        <w:t>, co następuje:</w:t>
      </w:r>
    </w:p>
    <w:p w:rsidR="00C46A60" w:rsidRDefault="00C46A60" w:rsidP="003F36DC">
      <w:pPr>
        <w:spacing w:after="0"/>
        <w:jc w:val="both"/>
        <w:rPr>
          <w:rFonts w:ascii="Tahoma" w:hAnsi="Tahoma" w:cs="Tahoma"/>
        </w:rPr>
      </w:pPr>
    </w:p>
    <w:p w:rsidR="00C46A60" w:rsidRDefault="00C46A60" w:rsidP="003F36DC">
      <w:pPr>
        <w:jc w:val="center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§ 1</w:t>
      </w:r>
    </w:p>
    <w:p w:rsidR="00C46A60" w:rsidRDefault="00C46A60" w:rsidP="003F36DC">
      <w:pPr>
        <w:spacing w:after="0"/>
        <w:jc w:val="both"/>
        <w:rPr>
          <w:rFonts w:ascii="Tahoma" w:eastAsia="Times New Roman" w:hAnsi="Tahoma" w:cs="Arial"/>
        </w:rPr>
      </w:pPr>
      <w:r w:rsidRPr="00E0177D">
        <w:rPr>
          <w:rFonts w:ascii="Tahoma" w:eastAsia="Times New Roman" w:hAnsi="Tahoma" w:cs="Arial"/>
          <w:b/>
        </w:rPr>
        <w:t>Przeznaczyć do zbycia</w:t>
      </w:r>
      <w:r w:rsidR="00CA5C1B">
        <w:rPr>
          <w:rFonts w:ascii="Tahoma" w:eastAsia="Times New Roman" w:hAnsi="Tahoma" w:cs="Arial"/>
        </w:rPr>
        <w:t>, w trybie bezprzetargowym, niż</w:t>
      </w:r>
      <w:r w:rsidR="00F975B2">
        <w:rPr>
          <w:rFonts w:ascii="Tahoma" w:eastAsia="Times New Roman" w:hAnsi="Tahoma" w:cs="Arial"/>
        </w:rPr>
        <w:t>ej wymienione</w:t>
      </w:r>
      <w:r w:rsidR="00CA5C1B">
        <w:rPr>
          <w:rFonts w:ascii="Tahoma" w:eastAsia="Times New Roman" w:hAnsi="Tahoma" w:cs="Arial"/>
        </w:rPr>
        <w:t xml:space="preserve"> lokal</w:t>
      </w:r>
      <w:r w:rsidR="008076EE">
        <w:rPr>
          <w:rFonts w:ascii="Tahoma" w:eastAsia="Times New Roman" w:hAnsi="Tahoma" w:cs="Arial"/>
        </w:rPr>
        <w:t xml:space="preserve">e mieszkalne </w:t>
      </w:r>
      <w:r w:rsidR="00B83158">
        <w:rPr>
          <w:rFonts w:ascii="Tahoma" w:eastAsia="Times New Roman" w:hAnsi="Tahoma" w:cs="Arial"/>
        </w:rPr>
        <w:br/>
      </w:r>
      <w:r w:rsidR="00F975B2">
        <w:rPr>
          <w:rFonts w:ascii="Tahoma" w:eastAsia="Times New Roman" w:hAnsi="Tahoma" w:cs="Arial"/>
        </w:rPr>
        <w:t>na rzecz dotychczasowych najemców</w:t>
      </w:r>
      <w:r w:rsidR="00CA5C1B">
        <w:rPr>
          <w:rFonts w:ascii="Tahoma" w:eastAsia="Times New Roman" w:hAnsi="Tahoma" w:cs="Arial"/>
        </w:rPr>
        <w:t xml:space="preserve"> wraz</w:t>
      </w:r>
      <w:r w:rsidR="008076EE">
        <w:rPr>
          <w:rFonts w:ascii="Tahoma" w:eastAsia="Times New Roman" w:hAnsi="Tahoma" w:cs="Arial"/>
        </w:rPr>
        <w:t xml:space="preserve"> ze sprzedażą związanego z lokalami</w:t>
      </w:r>
      <w:r w:rsidR="00CA5C1B">
        <w:rPr>
          <w:rFonts w:ascii="Tahoma" w:eastAsia="Times New Roman" w:hAnsi="Tahoma" w:cs="Arial"/>
        </w:rPr>
        <w:t xml:space="preserve"> udziału </w:t>
      </w:r>
      <w:r w:rsidR="00B83158">
        <w:rPr>
          <w:rFonts w:ascii="Tahoma" w:eastAsia="Times New Roman" w:hAnsi="Tahoma" w:cs="Arial"/>
        </w:rPr>
        <w:br/>
      </w:r>
      <w:r w:rsidR="00CA5C1B">
        <w:rPr>
          <w:rFonts w:ascii="Tahoma" w:eastAsia="Times New Roman" w:hAnsi="Tahoma" w:cs="Arial"/>
        </w:rPr>
        <w:t xml:space="preserve">we wspólnych częściach budynku oraz </w:t>
      </w:r>
      <w:r w:rsidR="008076EE">
        <w:rPr>
          <w:rFonts w:ascii="Tahoma" w:eastAsia="Times New Roman" w:hAnsi="Tahoma" w:cs="Arial"/>
        </w:rPr>
        <w:t xml:space="preserve">we </w:t>
      </w:r>
      <w:r w:rsidR="00CA5C1B">
        <w:rPr>
          <w:rFonts w:ascii="Tahoma" w:eastAsia="Times New Roman" w:hAnsi="Tahoma" w:cs="Arial"/>
        </w:rPr>
        <w:t xml:space="preserve">własności gruntu, z zastosowaniem bonifikaty </w:t>
      </w:r>
      <w:r w:rsidR="00B83158">
        <w:rPr>
          <w:rFonts w:ascii="Tahoma" w:eastAsia="Times New Roman" w:hAnsi="Tahoma" w:cs="Arial"/>
        </w:rPr>
        <w:br/>
      </w:r>
      <w:r w:rsidR="00CA5C1B">
        <w:rPr>
          <w:rFonts w:ascii="Tahoma" w:eastAsia="Times New Roman" w:hAnsi="Tahoma" w:cs="Arial"/>
        </w:rPr>
        <w:t xml:space="preserve">w wysokości </w:t>
      </w:r>
      <w:r w:rsidR="00CA5C1B" w:rsidRPr="00F975B2">
        <w:rPr>
          <w:rFonts w:ascii="Tahoma" w:eastAsia="Times New Roman" w:hAnsi="Tahoma" w:cs="Arial"/>
          <w:b/>
        </w:rPr>
        <w:t>99%</w:t>
      </w:r>
      <w:r w:rsidR="00CA5C1B">
        <w:rPr>
          <w:rFonts w:ascii="Tahoma" w:eastAsia="Times New Roman" w:hAnsi="Tahoma" w:cs="Arial"/>
        </w:rPr>
        <w:t>:</w:t>
      </w:r>
    </w:p>
    <w:p w:rsidR="00CA5C1B" w:rsidRDefault="00CA5C1B" w:rsidP="003F36DC">
      <w:pPr>
        <w:spacing w:after="0"/>
        <w:jc w:val="both"/>
        <w:rPr>
          <w:rFonts w:ascii="Tahoma" w:eastAsia="Times New Roman" w:hAnsi="Tahoma" w:cs="Arial"/>
        </w:rPr>
      </w:pPr>
    </w:p>
    <w:tbl>
      <w:tblPr>
        <w:tblStyle w:val="Tabela-Siatka"/>
        <w:tblW w:w="9791" w:type="dxa"/>
        <w:jc w:val="center"/>
        <w:tblLayout w:type="fixed"/>
        <w:tblLook w:val="04A0" w:firstRow="1" w:lastRow="0" w:firstColumn="1" w:lastColumn="0" w:noHBand="0" w:noVBand="1"/>
      </w:tblPr>
      <w:tblGrid>
        <w:gridCol w:w="714"/>
        <w:gridCol w:w="1276"/>
        <w:gridCol w:w="1276"/>
        <w:gridCol w:w="850"/>
        <w:gridCol w:w="1422"/>
        <w:gridCol w:w="1261"/>
        <w:gridCol w:w="1286"/>
        <w:gridCol w:w="1706"/>
      </w:tblGrid>
      <w:tr w:rsidR="00E0177D" w:rsidTr="0060201F">
        <w:trPr>
          <w:jc w:val="center"/>
        </w:trPr>
        <w:tc>
          <w:tcPr>
            <w:tcW w:w="714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</w:rPr>
              <w:t>L</w:t>
            </w:r>
            <w:r w:rsidR="00E0177D" w:rsidRPr="00B83158">
              <w:rPr>
                <w:rFonts w:ascii="Tahoma" w:hAnsi="Tahoma" w:cs="Tahoma"/>
                <w:b/>
                <w:sz w:val="20"/>
                <w:szCs w:val="20"/>
              </w:rPr>
              <w:t>.</w:t>
            </w:r>
            <w:r w:rsidRPr="00B83158">
              <w:rPr>
                <w:rFonts w:ascii="Tahoma" w:hAnsi="Tahoma" w:cs="Tahoma"/>
                <w:b/>
                <w:sz w:val="20"/>
                <w:szCs w:val="20"/>
              </w:rPr>
              <w:t>p</w:t>
            </w:r>
            <w:r w:rsidR="00E0177D" w:rsidRPr="00B83158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E0177D" w:rsidRPr="00B83158" w:rsidRDefault="00CA5C1B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</w:rPr>
              <w:t xml:space="preserve">Imię </w:t>
            </w:r>
          </w:p>
          <w:p w:rsidR="00CA5C1B" w:rsidRPr="00B83158" w:rsidRDefault="00CA5C1B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</w:rPr>
              <w:t>i nazwisko najemcy</w:t>
            </w:r>
          </w:p>
        </w:tc>
        <w:tc>
          <w:tcPr>
            <w:tcW w:w="1276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</w:rPr>
              <w:t>Ulica</w:t>
            </w:r>
          </w:p>
        </w:tc>
        <w:tc>
          <w:tcPr>
            <w:tcW w:w="850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</w:rPr>
              <w:t>Nr domu</w:t>
            </w:r>
          </w:p>
        </w:tc>
        <w:tc>
          <w:tcPr>
            <w:tcW w:w="1422" w:type="dxa"/>
            <w:vAlign w:val="center"/>
          </w:tcPr>
          <w:p w:rsidR="00CA5C1B" w:rsidRPr="00B83158" w:rsidRDefault="003F36DC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</w:rPr>
              <w:t xml:space="preserve">Nr </w:t>
            </w:r>
            <w:r w:rsidR="00CA5C1B" w:rsidRPr="00B83158">
              <w:rPr>
                <w:rFonts w:ascii="Tahoma" w:hAnsi="Tahoma" w:cs="Tahoma"/>
                <w:b/>
                <w:sz w:val="20"/>
                <w:szCs w:val="20"/>
              </w:rPr>
              <w:t>mieszkania</w:t>
            </w:r>
          </w:p>
        </w:tc>
        <w:tc>
          <w:tcPr>
            <w:tcW w:w="1261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</w:rPr>
              <w:t>Pow. lokalu m</w:t>
            </w:r>
            <w:r w:rsidRPr="00B83158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2</w:t>
            </w:r>
          </w:p>
          <w:p w:rsidR="003F36DC" w:rsidRPr="00B83158" w:rsidRDefault="003F36DC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  <w:vertAlign w:val="subscript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  <w:vertAlign w:val="subscript"/>
              </w:rPr>
              <w:t>pom. przynależne</w:t>
            </w:r>
          </w:p>
        </w:tc>
        <w:tc>
          <w:tcPr>
            <w:tcW w:w="1286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</w:rPr>
              <w:t xml:space="preserve">Udział w </w:t>
            </w:r>
            <w:r w:rsidR="00E0177D" w:rsidRPr="00B83158">
              <w:rPr>
                <w:rFonts w:ascii="Tahoma" w:hAnsi="Tahoma" w:cs="Tahoma"/>
                <w:b/>
                <w:sz w:val="20"/>
                <w:szCs w:val="20"/>
              </w:rPr>
              <w:t>c</w:t>
            </w:r>
            <w:r w:rsidRPr="00B83158">
              <w:rPr>
                <w:rFonts w:ascii="Tahoma" w:hAnsi="Tahoma" w:cs="Tahoma"/>
                <w:b/>
                <w:sz w:val="20"/>
                <w:szCs w:val="20"/>
              </w:rPr>
              <w:t>zęściach wspólnych</w:t>
            </w:r>
          </w:p>
        </w:tc>
        <w:tc>
          <w:tcPr>
            <w:tcW w:w="1706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83158">
              <w:rPr>
                <w:rFonts w:ascii="Tahoma" w:hAnsi="Tahoma" w:cs="Tahoma"/>
                <w:b/>
                <w:sz w:val="20"/>
                <w:szCs w:val="20"/>
              </w:rPr>
              <w:t>Cena nieruchomości lokalowej</w:t>
            </w:r>
          </w:p>
        </w:tc>
      </w:tr>
      <w:tr w:rsidR="00E0177D" w:rsidTr="0060201F">
        <w:trPr>
          <w:jc w:val="center"/>
        </w:trPr>
        <w:tc>
          <w:tcPr>
            <w:tcW w:w="714" w:type="dxa"/>
          </w:tcPr>
          <w:p w:rsidR="00CA5C1B" w:rsidRPr="00B83158" w:rsidRDefault="00CA5C1B" w:rsidP="003F36D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A5C1B" w:rsidRPr="00B83158" w:rsidRDefault="008B09D0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……………..</w:t>
            </w:r>
          </w:p>
        </w:tc>
        <w:tc>
          <w:tcPr>
            <w:tcW w:w="1276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Adama Mickiewicza</w:t>
            </w:r>
          </w:p>
        </w:tc>
        <w:tc>
          <w:tcPr>
            <w:tcW w:w="850" w:type="dxa"/>
            <w:vAlign w:val="center"/>
          </w:tcPr>
          <w:p w:rsidR="00CA5C1B" w:rsidRPr="00B83158" w:rsidRDefault="008B09D0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….</w:t>
            </w:r>
          </w:p>
        </w:tc>
        <w:tc>
          <w:tcPr>
            <w:tcW w:w="1422" w:type="dxa"/>
            <w:vAlign w:val="center"/>
          </w:tcPr>
          <w:p w:rsidR="00CA5C1B" w:rsidRPr="00B83158" w:rsidRDefault="008B09D0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….</w:t>
            </w:r>
          </w:p>
        </w:tc>
        <w:tc>
          <w:tcPr>
            <w:tcW w:w="1261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26,07</w:t>
            </w:r>
          </w:p>
        </w:tc>
        <w:tc>
          <w:tcPr>
            <w:tcW w:w="1286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98/10000</w:t>
            </w:r>
          </w:p>
        </w:tc>
        <w:tc>
          <w:tcPr>
            <w:tcW w:w="1706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132 000,00</w:t>
            </w:r>
          </w:p>
        </w:tc>
      </w:tr>
      <w:tr w:rsidR="00E0177D" w:rsidTr="0060201F">
        <w:trPr>
          <w:jc w:val="center"/>
        </w:trPr>
        <w:tc>
          <w:tcPr>
            <w:tcW w:w="714" w:type="dxa"/>
          </w:tcPr>
          <w:p w:rsidR="00CA5C1B" w:rsidRPr="00B83158" w:rsidRDefault="00CA5C1B" w:rsidP="003F36D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CA5C1B" w:rsidRPr="00B83158" w:rsidRDefault="008B09D0" w:rsidP="006020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………………</w:t>
            </w:r>
          </w:p>
        </w:tc>
        <w:tc>
          <w:tcPr>
            <w:tcW w:w="1276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Rynek</w:t>
            </w:r>
          </w:p>
        </w:tc>
        <w:tc>
          <w:tcPr>
            <w:tcW w:w="850" w:type="dxa"/>
            <w:vAlign w:val="center"/>
          </w:tcPr>
          <w:p w:rsidR="00CA5C1B" w:rsidRPr="00B83158" w:rsidRDefault="008B09D0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….</w:t>
            </w:r>
          </w:p>
        </w:tc>
        <w:tc>
          <w:tcPr>
            <w:tcW w:w="1422" w:type="dxa"/>
            <w:vAlign w:val="center"/>
          </w:tcPr>
          <w:p w:rsidR="00CA5C1B" w:rsidRPr="00B83158" w:rsidRDefault="008B09D0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….</w:t>
            </w:r>
          </w:p>
        </w:tc>
        <w:tc>
          <w:tcPr>
            <w:tcW w:w="1261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44,70</w:t>
            </w:r>
          </w:p>
        </w:tc>
        <w:tc>
          <w:tcPr>
            <w:tcW w:w="1286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142/10000</w:t>
            </w:r>
          </w:p>
        </w:tc>
        <w:tc>
          <w:tcPr>
            <w:tcW w:w="1706" w:type="dxa"/>
            <w:vAlign w:val="center"/>
          </w:tcPr>
          <w:p w:rsidR="00CA5C1B" w:rsidRPr="00B83158" w:rsidRDefault="00CA5C1B" w:rsidP="003F36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3158">
              <w:rPr>
                <w:rFonts w:ascii="Tahoma" w:hAnsi="Tahoma" w:cs="Tahoma"/>
                <w:sz w:val="20"/>
                <w:szCs w:val="20"/>
              </w:rPr>
              <w:t>236 000,00</w:t>
            </w:r>
          </w:p>
        </w:tc>
      </w:tr>
    </w:tbl>
    <w:p w:rsidR="00CA5C1B" w:rsidRPr="00C46A60" w:rsidRDefault="00CA5C1B" w:rsidP="003F36DC">
      <w:pPr>
        <w:spacing w:after="0"/>
        <w:jc w:val="both"/>
        <w:rPr>
          <w:rFonts w:ascii="Tahoma" w:hAnsi="Tahoma" w:cs="Tahoma"/>
        </w:rPr>
      </w:pPr>
    </w:p>
    <w:p w:rsidR="0060201F" w:rsidRDefault="0060201F" w:rsidP="003F36DC">
      <w:pPr>
        <w:jc w:val="center"/>
        <w:rPr>
          <w:rFonts w:ascii="Tahoma" w:eastAsia="Times New Roman" w:hAnsi="Tahoma" w:cs="Arial"/>
        </w:rPr>
      </w:pPr>
    </w:p>
    <w:p w:rsidR="00BF4A3F" w:rsidRDefault="00BF4A3F" w:rsidP="003F36DC">
      <w:pPr>
        <w:jc w:val="center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§ 2</w:t>
      </w:r>
    </w:p>
    <w:p w:rsidR="00BF4A3F" w:rsidRDefault="00BF4A3F" w:rsidP="003F36DC">
      <w:pPr>
        <w:spacing w:after="0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 xml:space="preserve">Zarządzenie wchodzi w życie z dniem </w:t>
      </w:r>
      <w:r w:rsidR="009D6B7E">
        <w:rPr>
          <w:rFonts w:ascii="Tahoma" w:eastAsia="Times New Roman" w:hAnsi="Tahoma" w:cs="Arial"/>
        </w:rPr>
        <w:t>21</w:t>
      </w:r>
      <w:r w:rsidR="00E0177D">
        <w:rPr>
          <w:rFonts w:ascii="Tahoma" w:eastAsia="Times New Roman" w:hAnsi="Tahoma" w:cs="Arial"/>
        </w:rPr>
        <w:t xml:space="preserve"> lutego</w:t>
      </w:r>
      <w:r>
        <w:rPr>
          <w:rFonts w:ascii="Tahoma" w:eastAsia="Times New Roman" w:hAnsi="Tahoma" w:cs="Arial"/>
        </w:rPr>
        <w:t xml:space="preserve"> 2023 r.</w:t>
      </w:r>
    </w:p>
    <w:p w:rsidR="008B09D0" w:rsidRDefault="008B09D0" w:rsidP="00483369">
      <w:pPr>
        <w:spacing w:line="276" w:lineRule="auto"/>
        <w:jc w:val="both"/>
        <w:rPr>
          <w:rFonts w:ascii="Tahoma" w:eastAsia="Times New Roman" w:hAnsi="Tahoma" w:cs="Arial"/>
        </w:rPr>
      </w:pPr>
    </w:p>
    <w:p w:rsidR="00B83158" w:rsidRDefault="00B83158" w:rsidP="00B83158">
      <w:pPr>
        <w:spacing w:line="276" w:lineRule="auto"/>
        <w:ind w:left="4956"/>
        <w:rPr>
          <w:rFonts w:ascii="Tahoma" w:hAnsi="Tahoma" w:cs="Tahoma"/>
        </w:rPr>
      </w:pPr>
    </w:p>
    <w:p w:rsidR="00C6491B" w:rsidRDefault="008B09D0" w:rsidP="00C6491B">
      <w:pPr>
        <w:spacing w:after="0" w:line="276" w:lineRule="auto"/>
        <w:ind w:left="4956"/>
        <w:rPr>
          <w:rFonts w:ascii="Tahoma" w:hAnsi="Tahoma" w:cs="Tahoma"/>
        </w:rPr>
      </w:pPr>
      <w:r>
        <w:rPr>
          <w:rFonts w:ascii="Tahoma" w:hAnsi="Tahoma" w:cs="Tahoma"/>
        </w:rPr>
        <w:t>z up. PRE</w:t>
      </w:r>
      <w:bookmarkStart w:id="0" w:name="_GoBack"/>
      <w:bookmarkEnd w:id="0"/>
      <w:r>
        <w:rPr>
          <w:rFonts w:ascii="Tahoma" w:hAnsi="Tahoma" w:cs="Tahoma"/>
        </w:rPr>
        <w:t>ZYDENTA MIASTA</w:t>
      </w:r>
    </w:p>
    <w:p w:rsidR="008B09D0" w:rsidRDefault="008B09D0" w:rsidP="00C6491B">
      <w:pPr>
        <w:spacing w:after="0" w:line="276" w:lineRule="auto"/>
        <w:ind w:left="4956"/>
        <w:rPr>
          <w:rFonts w:ascii="Tahoma" w:hAnsi="Tahoma" w:cs="Tahoma"/>
        </w:rPr>
      </w:pPr>
      <w:r>
        <w:rPr>
          <w:rFonts w:ascii="Tahoma" w:hAnsi="Tahoma" w:cs="Tahoma"/>
        </w:rPr>
        <w:t>/-/ Tomasz Ochocki</w:t>
      </w:r>
      <w:bookmarkStart w:id="1" w:name="page44R_mcid32"/>
      <w:bookmarkEnd w:id="1"/>
      <w:r>
        <w:rPr>
          <w:rFonts w:ascii="Tahoma" w:hAnsi="Tahoma" w:cs="Tahoma"/>
        </w:rPr>
        <w:br/>
        <w:t>Sekretarz Miasta</w:t>
      </w:r>
    </w:p>
    <w:sectPr w:rsidR="008B09D0" w:rsidSect="00B83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A60"/>
    <w:rsid w:val="0018597C"/>
    <w:rsid w:val="003F36DC"/>
    <w:rsid w:val="00483369"/>
    <w:rsid w:val="0060201F"/>
    <w:rsid w:val="008076EE"/>
    <w:rsid w:val="008B09D0"/>
    <w:rsid w:val="009D6B7E"/>
    <w:rsid w:val="009E7905"/>
    <w:rsid w:val="00B83158"/>
    <w:rsid w:val="00BF4A3F"/>
    <w:rsid w:val="00C46A60"/>
    <w:rsid w:val="00C6491B"/>
    <w:rsid w:val="00CA5C1B"/>
    <w:rsid w:val="00E0177D"/>
    <w:rsid w:val="00F9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2382A-CC21-4B3C-951B-C27548215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F4A3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A5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F4A3F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BF4A3F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F4A3F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Bezodstpw">
    <w:name w:val="No Spacing"/>
    <w:qFormat/>
    <w:rsid w:val="00BF4A3F"/>
    <w:pPr>
      <w:suppressAutoHyphens/>
      <w:spacing w:after="0" w:line="240" w:lineRule="auto"/>
    </w:pPr>
    <w:rPr>
      <w:rFonts w:cs="Calibri"/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3F88D-C582-4AE0-AD90-FCB3B10CE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Krzysztof Szumlakowski</cp:lastModifiedBy>
  <cp:revision>8</cp:revision>
  <cp:lastPrinted>2023-02-10T12:08:00Z</cp:lastPrinted>
  <dcterms:created xsi:type="dcterms:W3CDTF">2023-02-10T12:09:00Z</dcterms:created>
  <dcterms:modified xsi:type="dcterms:W3CDTF">2023-03-09T12:25:00Z</dcterms:modified>
</cp:coreProperties>
</file>