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spacing w:lineRule="auto" w:line="276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  <w:lang w:val="pl-PL"/>
        </w:rPr>
        <w:t xml:space="preserve"> </w:t>
      </w:r>
      <w:r>
        <w:rPr>
          <w:rFonts w:ascii="Tahoma" w:hAnsi="Tahoma"/>
          <w:b/>
          <w:sz w:val="22"/>
          <w:szCs w:val="22"/>
          <w:lang w:val="pl-PL"/>
        </w:rPr>
        <w:t>ZARZĄDZENIE P.0050.</w:t>
      </w:r>
      <w:r>
        <w:rPr>
          <w:rFonts w:ascii="Tahoma" w:hAnsi="Tahoma"/>
          <w:b/>
          <w:sz w:val="22"/>
          <w:szCs w:val="22"/>
          <w:lang w:val="pl-PL"/>
        </w:rPr>
        <w:t>194.</w:t>
      </w:r>
      <w:r>
        <w:rPr>
          <w:rFonts w:ascii="Tahoma" w:hAnsi="Tahoma"/>
          <w:b/>
          <w:sz w:val="22"/>
          <w:szCs w:val="22"/>
          <w:lang w:val="pl-PL"/>
        </w:rPr>
        <w:t>2023</w:t>
      </w:r>
    </w:p>
    <w:p>
      <w:pPr>
        <w:pStyle w:val="Standard"/>
        <w:spacing w:lineRule="auto" w:line="276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  <w:lang w:val="pl-PL"/>
        </w:rPr>
        <w:t>PREZYDENTA MIASTA LUBINA</w:t>
      </w:r>
    </w:p>
    <w:p>
      <w:pPr>
        <w:pStyle w:val="Standard"/>
        <w:spacing w:lineRule="auto" w:line="276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  <w:lang w:val="pl-PL"/>
        </w:rPr>
        <w:t xml:space="preserve">Z DNIA </w:t>
      </w:r>
      <w:r>
        <w:rPr>
          <w:rFonts w:ascii="Tahoma" w:hAnsi="Tahoma"/>
          <w:b/>
          <w:sz w:val="22"/>
          <w:szCs w:val="22"/>
          <w:lang w:val="pl-PL"/>
        </w:rPr>
        <w:t xml:space="preserve">19 </w:t>
      </w:r>
      <w:r>
        <w:rPr>
          <w:rFonts w:ascii="Tahoma" w:hAnsi="Tahoma"/>
          <w:b/>
          <w:sz w:val="22"/>
          <w:szCs w:val="22"/>
          <w:lang w:val="pl-PL"/>
        </w:rPr>
        <w:t>CZERWCA 2023R.</w:t>
      </w:r>
    </w:p>
    <w:p>
      <w:pPr>
        <w:pStyle w:val="Standard"/>
        <w:spacing w:lineRule="auto" w:line="276"/>
        <w:jc w:val="center"/>
        <w:rPr>
          <w:rFonts w:ascii="Tahoma" w:hAnsi="Tahoma"/>
          <w:b/>
          <w:sz w:val="22"/>
          <w:szCs w:val="22"/>
          <w:lang w:val="pl-PL"/>
        </w:rPr>
      </w:pPr>
      <w:r>
        <w:rPr>
          <w:rFonts w:ascii="Tahoma" w:hAnsi="Tahoma"/>
          <w:b/>
          <w:sz w:val="22"/>
          <w:szCs w:val="22"/>
          <w:lang w:val="pl-PL"/>
        </w:rPr>
      </w:r>
    </w:p>
    <w:p>
      <w:pPr>
        <w:pStyle w:val="Standard"/>
        <w:spacing w:lineRule="auto" w:line="276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sz w:val="22"/>
          <w:szCs w:val="22"/>
          <w:lang w:val="pl-PL"/>
        </w:rPr>
        <w:t>w sprawie dzierżawy gruntów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  <w:lang w:val="pl-PL"/>
        </w:rPr>
        <w:t>Na podstawie art. 11 ust. 1, art. 13 ust. 1, art. 25 ust. 1 ustawy z dnia 21 sierpnia 1997 r.</w:t>
        <w:br/>
        <w:t>o gospodarce nieruchomościami (</w:t>
      </w:r>
      <w:r>
        <w:rPr>
          <w:rFonts w:ascii="Tahoma" w:hAnsi="Tahoma"/>
          <w:color w:val="000000"/>
          <w:sz w:val="22"/>
          <w:szCs w:val="22"/>
          <w:lang w:val="pl-PL"/>
        </w:rPr>
        <w:t>t.j. Dz. U. z 2023r. poz. 344 z późn. zm.</w:t>
      </w:r>
      <w:r>
        <w:rPr>
          <w:rFonts w:ascii="Tahoma" w:hAnsi="Tahoma"/>
          <w:color w:val="000000"/>
          <w:sz w:val="22"/>
          <w:szCs w:val="22"/>
          <w:lang w:val="pl-PL"/>
        </w:rPr>
        <w:t>), art. 30 ust. 1</w:t>
        <w:br/>
        <w:t>i ust. 2 pkt 3) ustawy z dnia 8 marca 1990r. o samorządzie gminnym (</w:t>
      </w:r>
      <w:r>
        <w:rPr>
          <w:rFonts w:ascii="Tahoma" w:hAnsi="Tahoma"/>
          <w:color w:val="000000"/>
          <w:sz w:val="22"/>
          <w:szCs w:val="22"/>
          <w:lang w:val="pl-PL"/>
        </w:rPr>
        <w:t>t.j. Dz.U. z 2023 poz. 40</w:t>
        <w:br/>
        <w:t>z późn. zm.</w:t>
      </w:r>
      <w:r>
        <w:rPr>
          <w:rFonts w:ascii="Tahoma" w:hAnsi="Tahoma"/>
          <w:color w:val="000000"/>
          <w:sz w:val="22"/>
          <w:szCs w:val="22"/>
          <w:lang w:val="pl-PL"/>
        </w:rPr>
        <w:t>),</w:t>
      </w:r>
      <w:r>
        <w:rPr>
          <w:rFonts w:cs="Arial" w:ascii="Tahoma" w:hAnsi="Tahoma"/>
          <w:color w:val="000000"/>
          <w:sz w:val="22"/>
          <w:szCs w:val="22"/>
          <w:lang w:val="pl-PL"/>
        </w:rPr>
        <w:t xml:space="preserve"> Zarządzenia Prezydenta Miasta Lubina P.0050.78.2022 z dnia  30 marca 2022 r.</w:t>
        <w:br/>
        <w:t>w sprawie aktualizacji zasad naliczania czynszu dzierżawnego,</w:t>
      </w:r>
      <w:r>
        <w:rPr>
          <w:rFonts w:ascii="Tahoma" w:hAnsi="Tahoma"/>
          <w:color w:val="000000"/>
          <w:sz w:val="22"/>
          <w:szCs w:val="22"/>
        </w:rPr>
        <w:t xml:space="preserve"> </w:t>
      </w:r>
      <w:r>
        <w:rPr>
          <w:rFonts w:ascii="Tahoma" w:hAnsi="Tahoma"/>
          <w:color w:val="000000"/>
          <w:sz w:val="22"/>
          <w:szCs w:val="22"/>
          <w:lang w:val="pl-PL"/>
        </w:rPr>
        <w:t xml:space="preserve">§ 2 ust. 4 pkt 1) załącznika do Uchwały Nr V/37/03 Rady Miejskiej w Lubinie z dnia 14 stycznia 2003r. w sprawie zasad gospodarowania nieruchomościami stanowiącymi własność Gminy Miejskiej Lubin </w:t>
      </w:r>
      <w:r>
        <w:rPr>
          <w:rFonts w:ascii="Tahoma" w:hAnsi="Tahoma"/>
          <w:color w:val="000000"/>
          <w:sz w:val="22"/>
          <w:szCs w:val="22"/>
        </w:rPr>
        <w:t xml:space="preserve">(Dz. Urz. Woj. Doln. z 2003r. Nr 13, poz. 330 z późn. zm.) </w:t>
      </w:r>
      <w:r>
        <w:rPr>
          <w:rFonts w:ascii="Tahoma" w:hAnsi="Tahoma"/>
          <w:color w:val="000000"/>
          <w:sz w:val="22"/>
          <w:szCs w:val="22"/>
          <w:lang w:val="pl-PL"/>
        </w:rPr>
        <w:t>oraz Zarządzenia Prezydenta Miasta Lubina Nr 41 z dnia 22 sierpnia 2019r. w sprawie powierzenia prowadzenia spraw i wykonywania czynności w tym praw i obowiązków postanawiam co następuje:</w:t>
      </w:r>
      <w:bookmarkStart w:id="0" w:name="__DdeLink__10575_1529866905"/>
    </w:p>
    <w:p>
      <w:pPr>
        <w:pStyle w:val="Standard"/>
        <w:tabs>
          <w:tab w:val="clear" w:pos="706"/>
          <w:tab w:val="left" w:pos="945" w:leader="none"/>
        </w:tabs>
        <w:spacing w:lineRule="auto" w:line="276"/>
        <w:ind w:left="225" w:hanging="225"/>
        <w:jc w:val="center"/>
        <w:rPr>
          <w:lang w:val="pl-PL"/>
        </w:rPr>
      </w:pPr>
      <w:r>
        <w:rPr>
          <w:rFonts w:ascii="Tahoma" w:hAnsi="Tahoma"/>
          <w:b/>
          <w:bCs/>
          <w:sz w:val="22"/>
          <w:szCs w:val="22"/>
        </w:rPr>
      </w:r>
    </w:p>
    <w:p>
      <w:pPr>
        <w:pStyle w:val="Standard"/>
        <w:tabs>
          <w:tab w:val="clear" w:pos="706"/>
          <w:tab w:val="left" w:pos="945" w:leader="none"/>
        </w:tabs>
        <w:spacing w:lineRule="auto" w:line="276"/>
        <w:ind w:left="225" w:hanging="225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§</w:t>
      </w:r>
      <w:bookmarkEnd w:id="0"/>
      <w:r>
        <w:rPr>
          <w:rFonts w:ascii="Tahoma" w:hAnsi="Tahoma"/>
          <w:b/>
          <w:bCs/>
          <w:sz w:val="22"/>
          <w:szCs w:val="22"/>
          <w:lang w:val="pl-PL"/>
        </w:rPr>
        <w:t xml:space="preserve"> 1</w:t>
      </w:r>
      <w:r>
        <w:rPr>
          <w:rFonts w:ascii="Tahoma" w:hAnsi="Tahoma"/>
          <w:sz w:val="22"/>
          <w:szCs w:val="22"/>
          <w:lang w:val="pl-PL"/>
        </w:rPr>
        <w:t xml:space="preserve"> </w:t>
      </w:r>
    </w:p>
    <w:p>
      <w:pPr>
        <w:pStyle w:val="Standard"/>
        <w:tabs>
          <w:tab w:val="clear" w:pos="706"/>
          <w:tab w:val="left" w:pos="375" w:leader="none"/>
        </w:tabs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>Wyrazić zgodę na przeznaczenie do dzierżawy na okres dwóch lat n/w nieruchomości położonych w Lubinie z przeznaczeniem na cele rekreacyjno - ogrodnicze, bez możliwości trwałej zabudowy: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>- część działki nr 361/21, obręb 2 miasta Lubina, przy ul. Skolimowskiej, o łącznej powierzchni 250 m</w:t>
      </w:r>
      <w:r>
        <w:rPr>
          <w:rFonts w:eastAsia="Times New Roman" w:cs="Arial" w:ascii="Tahoma" w:hAnsi="Tahoma"/>
          <w:sz w:val="22"/>
          <w:szCs w:val="22"/>
          <w:vertAlign w:val="superscript"/>
          <w:lang w:val="pl-PL"/>
        </w:rPr>
        <w:t>2</w:t>
      </w:r>
      <w:r>
        <w:rPr>
          <w:rFonts w:eastAsia="Times New Roman" w:cs="Arial" w:ascii="Tahoma" w:hAnsi="Tahoma"/>
          <w:sz w:val="22"/>
          <w:szCs w:val="22"/>
          <w:lang w:val="pl-PL"/>
        </w:rPr>
        <w:t xml:space="preserve">, </w:t>
      </w:r>
      <w:r>
        <w:rPr>
          <w:rFonts w:cs="Arial" w:ascii="Tahoma" w:hAnsi="Tahoma"/>
          <w:sz w:val="22"/>
          <w:szCs w:val="22"/>
          <w:lang w:val="pl-PL"/>
        </w:rPr>
        <w:t xml:space="preserve"> ze stawką czynszu ustaloną w wysokości 55 zł netto rocznie. </w:t>
      </w:r>
      <w:r>
        <w:rPr>
          <w:rFonts w:cs="Arial" w:ascii="Tahoma" w:hAnsi="Tahoma"/>
          <w:b/>
          <w:sz w:val="22"/>
          <w:szCs w:val="22"/>
          <w:lang w:val="pl-PL"/>
        </w:rPr>
        <w:t xml:space="preserve"> 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 xml:space="preserve">- część działki nr 119, obręb 3 miasta Lubina, przy ul. Górniczej, o łącznej powierzchni </w:t>
        <w:br/>
        <w:t>126 m</w:t>
      </w:r>
      <w:r>
        <w:rPr>
          <w:rFonts w:eastAsia="Times New Roman" w:cs="Arial" w:ascii="Tahoma" w:hAnsi="Tahoma"/>
          <w:sz w:val="22"/>
          <w:szCs w:val="22"/>
          <w:vertAlign w:val="superscript"/>
          <w:lang w:val="pl-PL"/>
        </w:rPr>
        <w:t>2</w:t>
      </w:r>
      <w:r>
        <w:rPr>
          <w:rFonts w:eastAsia="Times New Roman" w:cs="Arial" w:ascii="Tahoma" w:hAnsi="Tahoma"/>
          <w:sz w:val="22"/>
          <w:szCs w:val="22"/>
          <w:lang w:val="pl-PL"/>
        </w:rPr>
        <w:t xml:space="preserve">, </w:t>
      </w:r>
      <w:r>
        <w:rPr>
          <w:rFonts w:cs="Arial" w:ascii="Tahoma" w:hAnsi="Tahoma"/>
          <w:sz w:val="22"/>
          <w:szCs w:val="22"/>
          <w:lang w:val="pl-PL"/>
        </w:rPr>
        <w:t xml:space="preserve"> ze stawką czynszu ustaloną w wysokości 27,72 zł netto rocznie. </w:t>
      </w:r>
      <w:r>
        <w:rPr>
          <w:rFonts w:cs="Arial" w:ascii="Tahoma" w:hAnsi="Tahoma"/>
          <w:b/>
          <w:sz w:val="22"/>
          <w:szCs w:val="22"/>
          <w:lang w:val="pl-PL"/>
        </w:rPr>
        <w:t xml:space="preserve"> 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>- z zachowaniem miesięcznego okresu wypowiedzenia warunków umowy ze skutkiem na koniec miesiąca, bądź w każdym czasie na mocy porozumienia.</w:t>
      </w:r>
    </w:p>
    <w:p>
      <w:pPr>
        <w:pStyle w:val="Standard"/>
        <w:tabs>
          <w:tab w:val="clear" w:pos="706"/>
          <w:tab w:val="left" w:pos="375" w:leader="none"/>
        </w:tabs>
        <w:spacing w:lineRule="auto" w:line="276"/>
        <w:jc w:val="both"/>
        <w:rPr>
          <w:rFonts w:ascii="Tahoma" w:hAnsi="Tahoma" w:cs="Arial"/>
          <w:sz w:val="22"/>
          <w:szCs w:val="22"/>
          <w:lang w:val="pl-PL"/>
        </w:rPr>
      </w:pPr>
      <w:r>
        <w:rPr>
          <w:rFonts w:cs="Arial"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945" w:leader="none"/>
        </w:tabs>
        <w:spacing w:lineRule="auto" w:line="276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§ 2</w:t>
      </w:r>
    </w:p>
    <w:p>
      <w:pPr>
        <w:pStyle w:val="Standard"/>
        <w:tabs>
          <w:tab w:val="clear" w:pos="706"/>
          <w:tab w:val="left" w:pos="375" w:leader="none"/>
        </w:tabs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>Wyrazić zgodę na przeznaczenie do dzierżawy w trybie bezprzetargowym na czas nieoznaczony nw. nieruchomość położoną w Lubinie z przeznaczeniem jako teren dodatkowy, bez możliwości trwałej zabudowy:</w:t>
      </w:r>
      <w:r>
        <w:rPr>
          <w:rFonts w:ascii="Tahoma" w:hAnsi="Tahoma"/>
          <w:sz w:val="22"/>
          <w:szCs w:val="22"/>
          <w:lang w:val="pl-PL"/>
        </w:rPr>
        <w:t xml:space="preserve"> 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eastAsia="Times New Roman" w:cs="Arial" w:ascii="Tahoma" w:hAnsi="Tahoma"/>
          <w:sz w:val="22"/>
          <w:szCs w:val="22"/>
          <w:lang w:val="pl-PL"/>
        </w:rPr>
        <w:t>- części działek nr 981/4 i 984, obręb 3 miasta Lubina, przy ul. Stary Lubin, o łącznej powierzchni 229 m</w:t>
      </w:r>
      <w:r>
        <w:rPr>
          <w:rFonts w:eastAsia="Times New Roman" w:cs="Arial" w:ascii="Tahoma" w:hAnsi="Tahoma"/>
          <w:sz w:val="22"/>
          <w:szCs w:val="22"/>
          <w:vertAlign w:val="superscript"/>
          <w:lang w:val="pl-PL"/>
        </w:rPr>
        <w:t>2</w:t>
      </w:r>
      <w:r>
        <w:rPr>
          <w:rFonts w:eastAsia="Times New Roman" w:cs="Arial" w:ascii="Tahoma" w:hAnsi="Tahoma"/>
          <w:sz w:val="22"/>
          <w:szCs w:val="22"/>
          <w:lang w:val="pl-PL"/>
        </w:rPr>
        <w:t xml:space="preserve">, </w:t>
      </w:r>
      <w:r>
        <w:rPr>
          <w:rFonts w:cs="Arial" w:ascii="Tahoma" w:hAnsi="Tahoma"/>
          <w:sz w:val="22"/>
          <w:szCs w:val="22"/>
          <w:lang w:val="pl-PL"/>
        </w:rPr>
        <w:t xml:space="preserve"> ze stawką czynszu ustaloną w wysokości 82,44 zł netto rocznie.</w:t>
      </w:r>
    </w:p>
    <w:p>
      <w:pPr>
        <w:pStyle w:val="Standard"/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cs="Arial" w:ascii="Tahoma" w:hAnsi="Tahoma"/>
          <w:sz w:val="22"/>
          <w:szCs w:val="22"/>
          <w:lang w:val="pl-PL"/>
        </w:rPr>
        <w:t xml:space="preserve"> </w:t>
      </w:r>
      <w:r>
        <w:rPr>
          <w:rFonts w:cs="Arial" w:ascii="Tahoma" w:hAnsi="Tahoma"/>
          <w:b/>
          <w:sz w:val="22"/>
          <w:szCs w:val="22"/>
          <w:lang w:val="pl-PL"/>
        </w:rPr>
        <w:t xml:space="preserve"> </w:t>
      </w:r>
      <w:r>
        <w:rPr>
          <w:rFonts w:eastAsia="Times New Roman" w:cs="Arial" w:ascii="Tahoma" w:hAnsi="Tahoma"/>
          <w:sz w:val="22"/>
          <w:szCs w:val="22"/>
          <w:lang w:val="pl-PL"/>
        </w:rPr>
        <w:t xml:space="preserve"> </w:t>
      </w:r>
      <w:r>
        <w:rPr>
          <w:rFonts w:cs="Arial" w:ascii="Tahoma" w:hAnsi="Tahoma"/>
          <w:sz w:val="22"/>
          <w:szCs w:val="22"/>
          <w:lang w:val="pl-PL"/>
        </w:rPr>
        <w:t xml:space="preserve">- z zachowaniem trzymiesięcznego okresu wypowiedzenia warunków umowy, bądź </w:t>
        <w:br/>
        <w:t>w każdym czasie na mocy porozumienia.</w:t>
      </w:r>
    </w:p>
    <w:p>
      <w:pPr>
        <w:pStyle w:val="Standard"/>
        <w:tabs>
          <w:tab w:val="clear" w:pos="706"/>
          <w:tab w:val="left" w:pos="945" w:leader="none"/>
        </w:tabs>
        <w:spacing w:lineRule="auto" w:line="276"/>
        <w:jc w:val="center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</w:r>
    </w:p>
    <w:p>
      <w:pPr>
        <w:pStyle w:val="Standard"/>
        <w:tabs>
          <w:tab w:val="clear" w:pos="706"/>
          <w:tab w:val="left" w:pos="945" w:leader="none"/>
        </w:tabs>
        <w:spacing w:lineRule="auto" w:line="276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§ 3</w:t>
      </w:r>
    </w:p>
    <w:p>
      <w:pPr>
        <w:pStyle w:val="Standard"/>
        <w:tabs>
          <w:tab w:val="clear" w:pos="706"/>
          <w:tab w:val="left" w:pos="945" w:leader="none"/>
        </w:tabs>
        <w:spacing w:lineRule="auto" w:line="276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>Szczegółowe warunki dotyczące dzierżaw, o których mowa w § 1-2, zostaną określone odrębnie.</w:t>
      </w:r>
    </w:p>
    <w:p>
      <w:pPr>
        <w:pStyle w:val="Standard"/>
        <w:tabs>
          <w:tab w:val="clear" w:pos="706"/>
          <w:tab w:val="left" w:pos="945" w:leader="none"/>
        </w:tabs>
        <w:spacing w:lineRule="auto" w:line="276"/>
        <w:jc w:val="center"/>
        <w:rPr>
          <w:lang w:val="pl-PL"/>
        </w:rPr>
      </w:pPr>
      <w:r>
        <w:rPr>
          <w:rFonts w:ascii="Tahoma" w:hAnsi="Tahoma"/>
          <w:b/>
          <w:bCs/>
          <w:sz w:val="22"/>
          <w:szCs w:val="22"/>
        </w:rPr>
      </w:r>
    </w:p>
    <w:p>
      <w:pPr>
        <w:pStyle w:val="Standard"/>
        <w:tabs>
          <w:tab w:val="clear" w:pos="706"/>
          <w:tab w:val="left" w:pos="945" w:leader="none"/>
        </w:tabs>
        <w:spacing w:lineRule="auto" w:line="276"/>
        <w:jc w:val="center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§ 4</w:t>
      </w:r>
    </w:p>
    <w:p>
      <w:pPr>
        <w:pStyle w:val="Standard"/>
        <w:tabs>
          <w:tab w:val="clear" w:pos="706"/>
          <w:tab w:val="left" w:pos="945" w:leader="none"/>
        </w:tabs>
        <w:spacing w:lineRule="auto" w:line="276"/>
        <w:ind w:left="225" w:hanging="225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  <w:lang w:val="pl-PL"/>
        </w:rPr>
        <w:t xml:space="preserve">Zarządzenie wchodzi w życie z dniem </w:t>
      </w:r>
      <w:r>
        <w:rPr>
          <w:rFonts w:ascii="Tahoma" w:hAnsi="Tahoma"/>
          <w:sz w:val="22"/>
          <w:szCs w:val="22"/>
          <w:lang w:val="pl-PL"/>
        </w:rPr>
        <w:t xml:space="preserve">19 czerwca </w:t>
      </w:r>
      <w:r>
        <w:rPr>
          <w:rFonts w:ascii="Tahoma" w:hAnsi="Tahoma"/>
          <w:sz w:val="22"/>
          <w:szCs w:val="22"/>
          <w:lang w:val="pl-PL"/>
        </w:rPr>
        <w:t>2023 r.</w:t>
      </w:r>
    </w:p>
    <w:p>
      <w:pPr>
        <w:pStyle w:val="Standard"/>
        <w:tabs>
          <w:tab w:val="clear" w:pos="706"/>
          <w:tab w:val="left" w:pos="945" w:leader="none"/>
        </w:tabs>
        <w:spacing w:lineRule="auto" w:line="276"/>
        <w:ind w:left="225" w:hanging="225"/>
        <w:rPr>
          <w:lang w:val="pl-PL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spacing w:lineRule="auto" w:line="276"/>
        <w:ind w:left="4956" w:right="0" w:firstLine="708"/>
        <w:rPr>
          <w:rFonts w:cs="Tahoma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spacing w:lineRule="auto" w:line="276"/>
        <w:ind w:left="4956" w:right="0" w:firstLine="708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 xml:space="preserve">z up. PREZYDENTA MIASTA </w:t>
      </w:r>
    </w:p>
    <w:p>
      <w:pPr>
        <w:pStyle w:val="Normal"/>
        <w:spacing w:lineRule="auto" w:line="276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ab/>
        <w:tab/>
        <w:tab/>
        <w:tab/>
        <w:tab/>
        <w:tab/>
        <w:tab/>
        <w:tab/>
        <w:t>/-/ Tomasz Ochocki</w:t>
        <w:br/>
        <w:tab/>
        <w:tab/>
        <w:tab/>
        <w:tab/>
        <w:tab/>
        <w:tab/>
        <w:tab/>
        <w:tab/>
        <w:t>Sekretarz Miasta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24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tarSymbol">
    <w:altName w:val="Arial Unicode MS"/>
    <w:charset w:val="ee"/>
    <w:family w:val="roman"/>
    <w:pitch w:val="variable"/>
  </w:font>
  <w:font w:name="Segoe UI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roman"/>
    <w:pitch w:val="variable"/>
  </w:font>
  <w:font w:name="Tahoma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de-DE" w:eastAsia="ja-JP" w:bidi="fa-IR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0"/>
      <w:sz w:val="24"/>
      <w:szCs w:val="24"/>
      <w:lang w:val="pl-PL" w:eastAsia="ja-JP" w:bidi="fa-IR"/>
    </w:rPr>
  </w:style>
  <w:style w:type="paragraph" w:styleId="Nagwek1">
    <w:name w:val="Heading 1"/>
    <w:qFormat/>
    <w:pPr>
      <w:keepNext w:val="true"/>
      <w:widowControl w:val="false"/>
      <w:bidi w:val="0"/>
      <w:spacing w:before="0" w:after="0"/>
      <w:jc w:val="center"/>
      <w:outlineLvl w:val="0"/>
    </w:pPr>
    <w:rPr>
      <w:rFonts w:ascii="Times New Roman" w:hAnsi="Times New Roman" w:eastAsia="Andale Sans UI" w:cs="Tahoma"/>
      <w:b/>
      <w:color w:val="auto"/>
      <w:kern w:val="0"/>
      <w:sz w:val="24"/>
      <w:szCs w:val="24"/>
      <w:lang w:val="de-DE" w:eastAsia="ja-JP" w:bidi="fa-IR"/>
    </w:rPr>
  </w:style>
  <w:style w:type="paragraph" w:styleId="Nagwek2">
    <w:name w:val="Heading 2"/>
    <w:qFormat/>
    <w:pPr>
      <w:keepNext w:val="true"/>
      <w:widowControl w:val="false"/>
      <w:bidi w:val="0"/>
      <w:spacing w:before="0" w:after="0"/>
      <w:jc w:val="center"/>
      <w:outlineLvl w:val="1"/>
    </w:pPr>
    <w:rPr>
      <w:rFonts w:ascii="Times New Roman" w:hAnsi="Times New Roman" w:eastAsia="Andale Sans UI" w:cs="Tahoma"/>
      <w:b/>
      <w:color w:val="auto"/>
      <w:kern w:val="0"/>
      <w:sz w:val="32"/>
      <w:szCs w:val="24"/>
      <w:lang w:val="de-DE" w:eastAsia="ja-JP" w:bidi="fa-IR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nakiwypunktowania" w:customStyle="1">
    <w:name w:val="Znaki wypunktowania"/>
    <w:qFormat/>
    <w:rPr>
      <w:rFonts w:ascii="StarSymbol, 'Arial Unicode MS'" w:hAnsi="StarSymbol, 'Arial Unicode MS'" w:eastAsia="StarSymbol, 'Arial Unicode MS'" w:cs="StarSymbol, 'Arial Unicode MS'"/>
      <w:sz w:val="18"/>
      <w:szCs w:val="18"/>
    </w:rPr>
  </w:style>
  <w:style w:type="character" w:styleId="Znakinumeracji" w:customStyle="1">
    <w:name w:val="Znaki numeracji"/>
    <w:qFormat/>
    <w:rPr/>
  </w:style>
  <w:style w:type="character" w:styleId="TekstdymkaZnak" w:customStyle="1">
    <w:name w:val="Tekst dymka Znak"/>
    <w:basedOn w:val="DefaultParagraphFont"/>
    <w:qFormat/>
    <w:rPr>
      <w:rFonts w:ascii="Segoe UI" w:hAnsi="Segoe UI" w:cs="Segoe UI"/>
      <w:sz w:val="18"/>
      <w:szCs w:val="18"/>
    </w:rPr>
  </w:style>
  <w:style w:type="character" w:styleId="Nagwek2Znak" w:customStyle="1">
    <w:name w:val="Nagłówek 2 Znak"/>
    <w:basedOn w:val="DefaultParagraphFont"/>
    <w:qFormat/>
    <w:rPr>
      <w:b/>
      <w:sz w:val="32"/>
    </w:rPr>
  </w:style>
  <w:style w:type="character" w:styleId="TytuZnak" w:customStyle="1">
    <w:name w:val="Tytuł Znak"/>
    <w:basedOn w:val="DefaultParagraphFont"/>
    <w:qFormat/>
    <w:rPr>
      <w:rFonts w:ascii="Arial" w:hAnsi="Arial" w:eastAsia="Times New Roman" w:cs="Arial"/>
      <w:b/>
      <w:bCs/>
      <w:lang w:val="pl-PL" w:eastAsia="pl-PL" w:bidi="ar-SA"/>
    </w:rPr>
  </w:style>
  <w:style w:type="character" w:styleId="Strong">
    <w:name w:val="Strong"/>
    <w:basedOn w:val="DefaultParagraphFont"/>
    <w:qFormat/>
    <w:rsid w:val="002f5a28"/>
    <w:rPr>
      <w:b/>
      <w:bCs/>
    </w:rPr>
  </w:style>
  <w:style w:type="character" w:styleId="WW8Num2z0">
    <w:name w:val="WW8Num2z0"/>
    <w:qFormat/>
    <w:rPr>
      <w:rFonts w:cs="Arial"/>
      <w:szCs w:val="24"/>
    </w:rPr>
  </w:style>
  <w:style w:type="character" w:styleId="WW8Num3z0">
    <w:name w:val="WW8Num3z0"/>
    <w:qFormat/>
    <w:rPr/>
  </w:style>
  <w:style w:type="character" w:styleId="WW8Num4z0">
    <w:name w:val="WW8Num4z0"/>
    <w:qFormat/>
    <w:rPr/>
  </w:style>
  <w:style w:type="character" w:styleId="WW8Num5z0">
    <w:name w:val="WW8Num5z0"/>
    <w:qFormat/>
    <w:rPr>
      <w:b/>
      <w:sz w:val="22"/>
    </w:rPr>
  </w:style>
  <w:style w:type="character" w:styleId="WW8Num6z0">
    <w:name w:val="WW8Num6z0"/>
    <w:qFormat/>
    <w:rPr/>
  </w:style>
  <w:style w:type="character" w:styleId="WW8Num7z0">
    <w:name w:val="WW8Num7z0"/>
    <w:qFormat/>
    <w:rPr>
      <w:rFonts w:ascii="Tahoma" w:hAnsi="Tahoma" w:cs="Tahoma"/>
    </w:rPr>
  </w:style>
  <w:style w:type="character" w:styleId="WW8Num8z0">
    <w:name w:val="WW8Num8z0"/>
    <w:qFormat/>
    <w:rPr/>
  </w:style>
  <w:style w:type="character" w:styleId="WW8Num9z0">
    <w:name w:val="WW8Num9z0"/>
    <w:qFormat/>
    <w:rPr>
      <w:sz w:val="22"/>
    </w:rPr>
  </w:style>
  <w:style w:type="character" w:styleId="WW8Num11z0">
    <w:name w:val="WW8Num11z0"/>
    <w:qFormat/>
    <w:rPr/>
  </w:style>
  <w:style w:type="character" w:styleId="Domylnaczcionkaakapitu">
    <w:name w:val="Domyślna czcionka akapitu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Domylnaczcionkaakapitu1">
    <w:name w:val="Domyślna czcionka akapitu1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Domylnaczcionkaakapitu">
    <w:name w:val="WW-Domyślna czcionka akapitu"/>
    <w:qFormat/>
    <w:rPr/>
  </w:style>
  <w:style w:type="character" w:styleId="TekstpodstawowyZnak">
    <w:name w:val="Tekst podstawowy Znak"/>
    <w:qFormat/>
    <w:rPr>
      <w:rFonts w:ascii="Arial" w:hAnsi="Arial" w:cs="Arial"/>
      <w:sz w:val="24"/>
    </w:rPr>
  </w:style>
  <w:style w:type="character" w:styleId="Markedcontent">
    <w:name w:val="markedcontent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extbody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Standard"/>
    <w:qFormat/>
    <w:pPr>
      <w:suppressLineNumbers/>
    </w:pPr>
    <w:rPr/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Standard"/>
    <w:next w:val="Tretekstu"/>
    <w:pPr>
      <w:keepNext w:val="true"/>
      <w:spacing w:before="240" w:after="120"/>
    </w:pPr>
    <w:rPr>
      <w:rFonts w:ascii="Arial" w:hAnsi="Arial"/>
      <w:sz w:val="28"/>
      <w:szCs w:val="28"/>
    </w:rPr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Andale Sans UI" w:cs="Tahoma"/>
      <w:color w:val="auto"/>
      <w:kern w:val="0"/>
      <w:sz w:val="24"/>
      <w:szCs w:val="24"/>
      <w:lang w:val="de-DE" w:eastAsia="ja-JP" w:bidi="fa-IR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Zawartotabeli" w:customStyle="1">
    <w:name w:val="Zawartość tabeli"/>
    <w:basedOn w:val="Standard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Tytu">
    <w:name w:val="Title"/>
    <w:basedOn w:val="Normal"/>
    <w:qFormat/>
    <w:pPr>
      <w:suppressAutoHyphens w:val="false"/>
      <w:jc w:val="center"/>
      <w:textAlignment w:val="auto"/>
    </w:pPr>
    <w:rPr>
      <w:rFonts w:ascii="Arial" w:hAnsi="Arial" w:eastAsia="Times New Roman" w:cs="Arial"/>
      <w:b/>
      <w:bCs/>
      <w:lang w:eastAsia="pl-PL" w:bidi="ar-SA"/>
    </w:rPr>
  </w:style>
  <w:style w:type="paragraph" w:styleId="Nagwek11">
    <w:name w:val="Nagłówek1"/>
    <w:basedOn w:val="Normal"/>
    <w:next w:val="Podtytu"/>
    <w:qFormat/>
    <w:pPr>
      <w:jc w:val="center"/>
    </w:pPr>
    <w:rPr>
      <w:rFonts w:ascii="Arial" w:hAnsi="Arial"/>
      <w:b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Tekstdymka">
    <w:name w:val="Tekst dymka"/>
    <w:basedOn w:val="Normal"/>
    <w:qFormat/>
    <w:pPr/>
    <w:rPr>
      <w:rFonts w:ascii="Tahoma" w:hAnsi="Tahoma" w:cs="Tahoma"/>
      <w:sz w:val="16"/>
      <w:szCs w:val="16"/>
    </w:rPr>
  </w:style>
  <w:style w:type="paragraph" w:styleId="NormalnyWeb">
    <w:name w:val="Normalny (Web)"/>
    <w:basedOn w:val="Normal"/>
    <w:qFormat/>
    <w:pPr>
      <w:suppressAutoHyphens w:val="false"/>
      <w:spacing w:lineRule="auto" w:line="276" w:before="100" w:after="142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2"/>
      <w:sz w:val="22"/>
      <w:szCs w:val="22"/>
      <w:lang w:val="pl-PL" w:eastAsia="zh-CN" w:bidi="ar-SA"/>
    </w:rPr>
  </w:style>
  <w:style w:type="paragraph" w:styleId="Podtytu">
    <w:name w:val="Subtitle"/>
    <w:basedOn w:val="Nagwek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9671D-FBF5-4AD8-910A-7BDFA160E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LibreOffice/7.5.0.3$Windows_X86_64 LibreOffice_project/c21113d003cd3efa8c53188764377a8272d9d6de</Application>
  <AppVersion>15.0000</AppVersion>
  <DocSecurity>0</DocSecurity>
  <Pages>1</Pages>
  <Words>375</Words>
  <Characters>1957</Characters>
  <CharactersWithSpaces>2345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Kosiedowski</dc:creator>
  <dc:description/>
  <dc:language>pl-PL</dc:language>
  <cp:lastModifiedBy/>
  <dcterms:modified xsi:type="dcterms:W3CDTF">2023-06-21T14:47:41Z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Info 1">
    <vt:lpwstr/>
  </property>
  <property fmtid="{D5CDD505-2E9C-101B-9397-08002B2CF9AE}" pid="4" name="Info 2">
    <vt:lpwstr/>
  </property>
  <property fmtid="{D5CDD505-2E9C-101B-9397-08002B2CF9AE}" pid="5" name="Info 3">
    <vt:lpwstr/>
  </property>
  <property fmtid="{D5CDD505-2E9C-101B-9397-08002B2CF9AE}" pid="6" name="Info 4">
    <vt:lpwstr/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