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E8E" w:rsidRDefault="00043E8E" w:rsidP="00043E8E">
      <w:pPr>
        <w:jc w:val="left"/>
        <w:rPr>
          <w:rFonts w:ascii="Tahoma" w:hAnsi="Tahoma" w:cs="Tahoma"/>
          <w:b/>
          <w:i/>
          <w:sz w:val="20"/>
          <w:szCs w:val="20"/>
        </w:rPr>
      </w:pPr>
    </w:p>
    <w:p w:rsidR="00043E8E" w:rsidRDefault="00043E8E" w:rsidP="00043E8E">
      <w:pPr>
        <w:pStyle w:val="Standard"/>
        <w:autoSpaceDE w:val="0"/>
        <w:rPr>
          <w:rFonts w:ascii="Tahoma" w:hAnsi="Tahoma"/>
          <w:b/>
          <w:bCs/>
          <w:i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RADA MIEJSKA</w:t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  <w:r>
        <w:rPr>
          <w:rFonts w:ascii="Tahoma" w:hAnsi="Tahoma"/>
          <w:b/>
          <w:bCs/>
          <w:sz w:val="20"/>
          <w:szCs w:val="20"/>
        </w:rPr>
        <w:tab/>
      </w:r>
    </w:p>
    <w:p w:rsidR="00043E8E" w:rsidRDefault="00043E8E" w:rsidP="00043E8E">
      <w:pPr>
        <w:pStyle w:val="Standard"/>
        <w:autoSpaceDE w:val="0"/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 xml:space="preserve">W LUBINIE </w:t>
      </w:r>
    </w:p>
    <w:p w:rsidR="00A77B3E" w:rsidRPr="00516E72" w:rsidRDefault="00881B8F" w:rsidP="00043E8E">
      <w:pPr>
        <w:ind w:left="5669"/>
        <w:jc w:val="right"/>
        <w:rPr>
          <w:rFonts w:ascii="Tahoma" w:hAnsi="Tahoma" w:cs="Tahoma"/>
          <w:b/>
          <w:i/>
          <w:sz w:val="20"/>
          <w:szCs w:val="20"/>
        </w:rPr>
      </w:pPr>
      <w:bookmarkStart w:id="0" w:name="_GoBack"/>
      <w:bookmarkEnd w:id="0"/>
      <w:r w:rsidRPr="00516E72">
        <w:rPr>
          <w:rFonts w:ascii="Tahoma" w:hAnsi="Tahoma" w:cs="Tahoma"/>
          <w:b/>
          <w:i/>
          <w:sz w:val="20"/>
          <w:szCs w:val="20"/>
        </w:rPr>
        <w:t>Projekt</w:t>
      </w:r>
      <w:r w:rsidR="00516E72" w:rsidRPr="00516E72">
        <w:rPr>
          <w:rFonts w:ascii="Tahoma" w:hAnsi="Tahoma" w:cs="Tahoma"/>
          <w:b/>
          <w:i/>
          <w:sz w:val="20"/>
          <w:szCs w:val="20"/>
        </w:rPr>
        <w:t xml:space="preserve"> 63/2023</w:t>
      </w:r>
    </w:p>
    <w:p w:rsidR="00A77B3E" w:rsidRPr="00516E72" w:rsidRDefault="00A77B3E">
      <w:pPr>
        <w:ind w:left="5669"/>
        <w:jc w:val="left"/>
        <w:rPr>
          <w:rFonts w:ascii="Tahoma" w:hAnsi="Tahoma" w:cs="Tahoma"/>
          <w:b/>
          <w:i/>
          <w:sz w:val="20"/>
          <w:szCs w:val="20"/>
          <w:u w:val="thick"/>
        </w:rPr>
      </w:pPr>
    </w:p>
    <w:p w:rsidR="00A77B3E" w:rsidRPr="00516E72" w:rsidRDefault="00A77B3E" w:rsidP="00043E8E">
      <w:pPr>
        <w:jc w:val="left"/>
        <w:rPr>
          <w:rFonts w:ascii="Tahoma" w:hAnsi="Tahoma" w:cs="Tahoma"/>
          <w:sz w:val="20"/>
          <w:szCs w:val="20"/>
        </w:rPr>
      </w:pPr>
    </w:p>
    <w:p w:rsidR="00A77B3E" w:rsidRPr="00516E72" w:rsidRDefault="00A77B3E">
      <w:pPr>
        <w:ind w:left="5669"/>
        <w:jc w:val="left"/>
        <w:rPr>
          <w:rFonts w:ascii="Tahoma" w:hAnsi="Tahoma" w:cs="Tahoma"/>
          <w:sz w:val="20"/>
          <w:szCs w:val="20"/>
        </w:rPr>
      </w:pPr>
    </w:p>
    <w:p w:rsidR="00A77B3E" w:rsidRPr="00516E72" w:rsidRDefault="00881B8F">
      <w:pPr>
        <w:jc w:val="center"/>
        <w:rPr>
          <w:rFonts w:ascii="Tahoma" w:hAnsi="Tahoma" w:cs="Tahoma"/>
          <w:b/>
          <w:caps/>
          <w:sz w:val="20"/>
          <w:szCs w:val="20"/>
        </w:rPr>
      </w:pPr>
      <w:r w:rsidRPr="00516E72">
        <w:rPr>
          <w:rFonts w:ascii="Tahoma" w:hAnsi="Tahoma" w:cs="Tahoma"/>
          <w:b/>
          <w:caps/>
          <w:sz w:val="20"/>
          <w:szCs w:val="20"/>
        </w:rPr>
        <w:t>Uchwała Nr ....................</w:t>
      </w:r>
      <w:r w:rsidRPr="00516E72">
        <w:rPr>
          <w:rFonts w:ascii="Tahoma" w:hAnsi="Tahoma" w:cs="Tahoma"/>
          <w:b/>
          <w:caps/>
          <w:sz w:val="20"/>
          <w:szCs w:val="20"/>
        </w:rPr>
        <w:br/>
        <w:t>Rady Miejskiej w Lubinie</w:t>
      </w:r>
    </w:p>
    <w:p w:rsidR="00A77B3E" w:rsidRPr="00516E72" w:rsidRDefault="00881B8F">
      <w:pPr>
        <w:spacing w:before="280" w:after="280"/>
        <w:jc w:val="center"/>
        <w:rPr>
          <w:rFonts w:ascii="Tahoma" w:hAnsi="Tahoma" w:cs="Tahoma"/>
          <w:b/>
          <w:caps/>
          <w:sz w:val="20"/>
          <w:szCs w:val="20"/>
        </w:rPr>
      </w:pPr>
      <w:r w:rsidRPr="00516E72">
        <w:rPr>
          <w:rFonts w:ascii="Tahoma" w:hAnsi="Tahoma" w:cs="Tahoma"/>
          <w:sz w:val="20"/>
          <w:szCs w:val="20"/>
        </w:rPr>
        <w:t>z dnia .................... 2023 r.</w:t>
      </w:r>
    </w:p>
    <w:p w:rsidR="00A77B3E" w:rsidRPr="00516E72" w:rsidRDefault="00881B8F">
      <w:pPr>
        <w:keepNext/>
        <w:spacing w:after="480"/>
        <w:jc w:val="center"/>
        <w:rPr>
          <w:rFonts w:ascii="Tahoma" w:hAnsi="Tahoma" w:cs="Tahoma"/>
          <w:sz w:val="20"/>
          <w:szCs w:val="20"/>
        </w:rPr>
      </w:pPr>
      <w:r w:rsidRPr="00516E72">
        <w:rPr>
          <w:rFonts w:ascii="Tahoma" w:hAnsi="Tahoma" w:cs="Tahoma"/>
          <w:b/>
          <w:sz w:val="20"/>
          <w:szCs w:val="20"/>
        </w:rPr>
        <w:t>w sprawie określenia wysokości stawek podatku od nieruchomości na terenie Gminy Miejskiej Lubin oraz zwolnień z tego podatku.</w:t>
      </w:r>
    </w:p>
    <w:p w:rsidR="00A77B3E" w:rsidRPr="00516E72" w:rsidRDefault="00881B8F">
      <w:pPr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Na podstawie art. 18 ust. 2 pkt 8 i art. 40 ust. 1 ustawy z dnia 8 marca 1990 r. o samorządzie gminnym (tekst jednolity: Dz.U. z 2023 r., poz. 40 ze zm.), art. 5 ust. 1 i art. 7 ust. 3 ustawy z dnia 12 stycznia 1991r. o podatkach i opłatach lokalnych</w:t>
      </w:r>
      <w:r w:rsidRPr="00516E72">
        <w:rPr>
          <w:rStyle w:val="Odwoanieprzypisukocowego"/>
          <w:rFonts w:ascii="Tahoma" w:hAnsi="Tahoma" w:cs="Tahoma"/>
          <w:color w:val="000000"/>
          <w:sz w:val="20"/>
          <w:szCs w:val="20"/>
          <w:u w:color="000000"/>
        </w:rPr>
        <w:endnoteReference w:customMarkFollows="1" w:id="1"/>
        <w:t>[1]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 xml:space="preserve"> (tekst jednolity: Dz.U. z 2023 r., poz. 70) oraz obwieszczenia Ministra Finansów z dnia 21 lipca 2023 r. w sprawie górnych granic stawek kwotowych podatków i opłat lokalnych na rok 2024 (M.P. z 2023 r., poz.774) 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uchwala się, co następuje:</w:t>
      </w:r>
    </w:p>
    <w:p w:rsidR="00A77B3E" w:rsidRPr="00516E72" w:rsidRDefault="00881B8F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b/>
          <w:sz w:val="20"/>
          <w:szCs w:val="20"/>
        </w:rPr>
        <w:t>§ 1. 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Stawki podatku od nieruchomości na terenie Gminy Miejskiej Lubin wynoszą rocznie:</w:t>
      </w:r>
    </w:p>
    <w:p w:rsidR="00A77B3E" w:rsidRPr="00516E72" w:rsidRDefault="00881B8F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1. 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od gruntów:</w:t>
      </w:r>
    </w:p>
    <w:p w:rsidR="00A77B3E" w:rsidRPr="00516E72" w:rsidRDefault="00881B8F">
      <w:pPr>
        <w:keepLines/>
        <w:spacing w:before="120" w:after="120"/>
        <w:ind w:left="227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a)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związanych z prowadzeniem działalności gospodarczej, bez względu na sposób zakwalifikowania w ewidencji gruntów i budynków od 1 m</w:t>
      </w:r>
      <w:r w:rsidRPr="00516E72">
        <w:rPr>
          <w:rFonts w:ascii="Tahoma" w:hAnsi="Tahoma" w:cs="Tahoma"/>
          <w:color w:val="000000"/>
          <w:sz w:val="20"/>
          <w:szCs w:val="20"/>
          <w:u w:color="000000"/>
          <w:vertAlign w:val="superscript"/>
        </w:rPr>
        <w:t xml:space="preserve">2 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 xml:space="preserve">powierzchni - 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1,34 zł</w:t>
      </w:r>
    </w:p>
    <w:p w:rsidR="00A77B3E" w:rsidRPr="00516E72" w:rsidRDefault="00881B8F">
      <w:pPr>
        <w:keepLines/>
        <w:spacing w:before="120" w:after="120"/>
        <w:ind w:left="227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b)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 xml:space="preserve">pod wodami powierzchniowymi stojącymi lub wodami powierzchniowymi płynącymi jezior i zbiorników sztucznych od 1 ha powierzchni - 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6,66 zł</w:t>
      </w:r>
    </w:p>
    <w:p w:rsidR="00A77B3E" w:rsidRPr="00516E72" w:rsidRDefault="00881B8F">
      <w:pPr>
        <w:keepLines/>
        <w:spacing w:before="120" w:after="120"/>
        <w:ind w:left="227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c)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pozostałych, w tym zajętych na prowadzenie odpłatnej statutowej działalności pożytku publicznego przez organizacje pożytku publicznego od 1 m</w:t>
      </w:r>
      <w:r w:rsidRPr="00516E72">
        <w:rPr>
          <w:rFonts w:ascii="Tahoma" w:hAnsi="Tahoma" w:cs="Tahoma"/>
          <w:color w:val="000000"/>
          <w:sz w:val="20"/>
          <w:szCs w:val="20"/>
          <w:u w:color="000000"/>
          <w:vertAlign w:val="superscript"/>
        </w:rPr>
        <w:t xml:space="preserve">2 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 xml:space="preserve">powierzchni - 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0,71 zł</w:t>
      </w:r>
    </w:p>
    <w:p w:rsidR="00A77B3E" w:rsidRPr="00516E72" w:rsidRDefault="00881B8F">
      <w:pPr>
        <w:keepLines/>
        <w:spacing w:before="120" w:after="120"/>
        <w:ind w:left="227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d)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niezabudowanych objętych obszarem rewitalizacji, o którym mowa w ustawie z dnia 9 października 2015 r. o rewitalizacji (t.j. Dz. U. z 2021 r., poz. 485 ze zm.), i położonych na terenach, dla których miejscowy plan zagospodarowania przestrzennego przewiduje przeznaczenie pod zabudowę mieszkaniową, usługową albo zabudowę o przeznaczeniu mieszanym obejmującym wyłącznie te rodzaje zabudowy, jeżeli od dnia wejścia w życie tego planu w odniesieniu do tych gruntów upłynął okres 4 lat, a w tym czasie nie zakończono budowy zgodnie z przepisami prawa budowlanego od 1 m</w:t>
      </w:r>
      <w:r w:rsidRPr="00516E72">
        <w:rPr>
          <w:rFonts w:ascii="Tahoma" w:hAnsi="Tahoma" w:cs="Tahoma"/>
          <w:color w:val="000000"/>
          <w:sz w:val="20"/>
          <w:szCs w:val="20"/>
          <w:u w:color="000000"/>
          <w:vertAlign w:val="superscript"/>
        </w:rPr>
        <w:t>2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 xml:space="preserve"> powierzchni - 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4,39 zł.</w:t>
      </w:r>
    </w:p>
    <w:p w:rsidR="00A77B3E" w:rsidRPr="00516E72" w:rsidRDefault="00881B8F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2. 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od budynków lub ich części:</w:t>
      </w:r>
    </w:p>
    <w:p w:rsidR="00A77B3E" w:rsidRPr="00516E72" w:rsidRDefault="00881B8F">
      <w:pPr>
        <w:keepLines/>
        <w:spacing w:before="120" w:after="120"/>
        <w:ind w:left="227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a)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mieszkalnych od 1 m</w:t>
      </w:r>
      <w:r w:rsidRPr="00516E72">
        <w:rPr>
          <w:rFonts w:ascii="Tahoma" w:hAnsi="Tahoma" w:cs="Tahoma"/>
          <w:color w:val="000000"/>
          <w:sz w:val="20"/>
          <w:szCs w:val="20"/>
          <w:u w:color="000000"/>
          <w:vertAlign w:val="superscript"/>
        </w:rPr>
        <w:t xml:space="preserve">2 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 xml:space="preserve">powierzchni użytkowej - 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1,15 zł</w:t>
      </w:r>
    </w:p>
    <w:p w:rsidR="00A77B3E" w:rsidRPr="00516E72" w:rsidRDefault="00881B8F">
      <w:pPr>
        <w:keepLines/>
        <w:spacing w:before="120" w:after="120"/>
        <w:ind w:left="227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b)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związanych z prowadzeniem działalności gospodarczej oraz od budynków mieszkalnych lub ich części zajętych na prowadzenie działalności gospodarczej od 1 m</w:t>
      </w:r>
      <w:r w:rsidRPr="00516E72">
        <w:rPr>
          <w:rFonts w:ascii="Tahoma" w:hAnsi="Tahoma" w:cs="Tahoma"/>
          <w:color w:val="000000"/>
          <w:sz w:val="20"/>
          <w:szCs w:val="20"/>
          <w:u w:color="000000"/>
          <w:vertAlign w:val="superscript"/>
        </w:rPr>
        <w:t xml:space="preserve">2 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 xml:space="preserve">powierzchni użytkowej - 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33,10 zł</w:t>
      </w:r>
    </w:p>
    <w:p w:rsidR="00A77B3E" w:rsidRPr="00516E72" w:rsidRDefault="00881B8F">
      <w:pPr>
        <w:keepLines/>
        <w:spacing w:before="120" w:after="120"/>
        <w:ind w:left="227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c)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zajętych na prowadzenie działalności gospodarczej w zakresie obrotu kwalifikowanym materiałem siewnym od 1 m</w:t>
      </w:r>
      <w:r w:rsidRPr="00516E72">
        <w:rPr>
          <w:rFonts w:ascii="Tahoma" w:hAnsi="Tahoma" w:cs="Tahoma"/>
          <w:color w:val="000000"/>
          <w:sz w:val="20"/>
          <w:szCs w:val="20"/>
          <w:u w:color="000000"/>
          <w:vertAlign w:val="superscript"/>
        </w:rPr>
        <w:t xml:space="preserve">2 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 xml:space="preserve">powierzchni użytkowej - 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15,50 zł</w:t>
      </w:r>
    </w:p>
    <w:p w:rsidR="00A77B3E" w:rsidRPr="00516E72" w:rsidRDefault="00881B8F">
      <w:pPr>
        <w:keepLines/>
        <w:spacing w:before="120" w:after="120"/>
        <w:ind w:left="227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d)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związanych z udzielaniem świadczeń zdrowotnych w rozumieniu przepisów o działalności leczniczej, zajętych przez podmioty udzielające tych świadczeń od 1 m</w:t>
      </w:r>
      <w:r w:rsidRPr="00516E72">
        <w:rPr>
          <w:rFonts w:ascii="Tahoma" w:hAnsi="Tahoma" w:cs="Tahoma"/>
          <w:color w:val="000000"/>
          <w:sz w:val="20"/>
          <w:szCs w:val="20"/>
          <w:u w:color="000000"/>
          <w:vertAlign w:val="superscript"/>
        </w:rPr>
        <w:t xml:space="preserve">2 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 xml:space="preserve">powierzchni użytkowej - 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6,76 zł</w:t>
      </w:r>
    </w:p>
    <w:p w:rsidR="00A77B3E" w:rsidRPr="00516E72" w:rsidRDefault="00881B8F">
      <w:pPr>
        <w:keepLines/>
        <w:spacing w:before="120" w:after="120"/>
        <w:ind w:left="227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e)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pozostałych, w tym zajętych na prowadzenie odpłatnej statutowej działalności pożytku publicznego przez organizacje pożytku publicznego od 1 m</w:t>
      </w:r>
      <w:r w:rsidRPr="00516E72">
        <w:rPr>
          <w:rFonts w:ascii="Tahoma" w:hAnsi="Tahoma" w:cs="Tahoma"/>
          <w:color w:val="000000"/>
          <w:sz w:val="20"/>
          <w:szCs w:val="20"/>
          <w:u w:color="000000"/>
          <w:vertAlign w:val="superscript"/>
        </w:rPr>
        <w:t xml:space="preserve">2 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 xml:space="preserve">powierzchni użytkowej - 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11,17 zł.</w:t>
      </w:r>
    </w:p>
    <w:p w:rsidR="00A77B3E" w:rsidRPr="00516E72" w:rsidRDefault="00881B8F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3. 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 xml:space="preserve">od budowli 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 xml:space="preserve">– ich wartości określonej na podstawie art. 4 ust. 1 pkt 3 i ust. 3 – 7 ustawy o podatkach i opłatach lokalnych - </w:t>
      </w:r>
      <w:r w:rsidRPr="00516E72">
        <w:rPr>
          <w:rFonts w:ascii="Tahoma" w:hAnsi="Tahoma" w:cs="Tahoma"/>
          <w:b/>
          <w:color w:val="000000"/>
          <w:sz w:val="20"/>
          <w:szCs w:val="20"/>
          <w:u w:color="000000"/>
        </w:rPr>
        <w:t>2%.</w:t>
      </w:r>
    </w:p>
    <w:p w:rsidR="00A77B3E" w:rsidRPr="00516E72" w:rsidRDefault="00881B8F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b/>
          <w:sz w:val="20"/>
          <w:szCs w:val="20"/>
        </w:rPr>
        <w:t>§ 2.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Zwalnia się od podatku od nieruchomości:</w:t>
      </w:r>
    </w:p>
    <w:p w:rsidR="00A77B3E" w:rsidRPr="00516E72" w:rsidRDefault="00881B8F">
      <w:pPr>
        <w:spacing w:before="120" w:after="120"/>
        <w:ind w:left="340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1)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grunty pod wodami powierzchniowymi stojącymi lub wodami powierzchniowymi płynącymi jezior i zbiorników sztucznych,</w:t>
      </w:r>
    </w:p>
    <w:p w:rsidR="00A77B3E" w:rsidRPr="00516E72" w:rsidRDefault="00881B8F">
      <w:pPr>
        <w:spacing w:before="120" w:after="120"/>
        <w:ind w:left="340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2)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grunty pozostałe, w tym zajęte na prowadzenie odpłatnej statutowej działalności pożytku publicznego przez organizacje pożytku publicznego,</w:t>
      </w:r>
    </w:p>
    <w:p w:rsidR="00A77B3E" w:rsidRPr="00516E72" w:rsidRDefault="00881B8F">
      <w:pPr>
        <w:spacing w:before="120" w:after="120"/>
        <w:ind w:left="340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lastRenderedPageBreak/>
        <w:t>3)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budynki mieszkalne lub ich części mieszkalne,</w:t>
      </w:r>
    </w:p>
    <w:p w:rsidR="00A77B3E" w:rsidRPr="00516E72" w:rsidRDefault="00881B8F">
      <w:pPr>
        <w:spacing w:before="120" w:after="120"/>
        <w:ind w:left="340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4)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budynki lub ich części zajęte na prowadzenie działalności gospodarczej w zakresie obrotu kwalifikowanym materiałem siewnym,</w:t>
      </w:r>
    </w:p>
    <w:p w:rsidR="00A77B3E" w:rsidRPr="00516E72" w:rsidRDefault="00881B8F">
      <w:pPr>
        <w:spacing w:before="120" w:after="120"/>
        <w:ind w:left="340" w:hanging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5)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budynki lub ich części pozostałe, w tym zajęte na prowadzenie odpłatnej statutowej działalności pożytku publicznego przez organizacje pożytku publicznego.</w:t>
      </w:r>
    </w:p>
    <w:p w:rsidR="00A77B3E" w:rsidRPr="00516E72" w:rsidRDefault="00881B8F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b/>
          <w:sz w:val="20"/>
          <w:szCs w:val="20"/>
        </w:rPr>
        <w:t>§ 3.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Wykonanie uchwały powierza się Prezydentowi Miasta.</w:t>
      </w:r>
    </w:p>
    <w:p w:rsidR="00A77B3E" w:rsidRPr="00516E72" w:rsidRDefault="00881B8F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b/>
          <w:sz w:val="20"/>
          <w:szCs w:val="20"/>
        </w:rPr>
        <w:t>§ 4.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Traci moc uchwała Nr XL/288/22 Rady Miejskiej w Lubinie z dnia 22 listopada 2022 r.</w:t>
      </w:r>
    </w:p>
    <w:p w:rsidR="00A77B3E" w:rsidRPr="00516E72" w:rsidRDefault="00881B8F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b/>
          <w:sz w:val="20"/>
          <w:szCs w:val="20"/>
        </w:rPr>
        <w:t>§ 5. </w:t>
      </w:r>
      <w:r w:rsidRPr="00516E72">
        <w:rPr>
          <w:rFonts w:ascii="Tahoma" w:hAnsi="Tahoma" w:cs="Tahoma"/>
          <w:sz w:val="20"/>
          <w:szCs w:val="20"/>
        </w:rPr>
        <w:t>1. 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Uchwała podlega ogłoszeniu w Dzienniku Urzędowym Województwa Dolnośląskiego.</w:t>
      </w:r>
    </w:p>
    <w:p w:rsidR="00A77B3E" w:rsidRPr="00516E72" w:rsidRDefault="00881B8F">
      <w:pPr>
        <w:keepNext/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sz w:val="20"/>
          <w:szCs w:val="20"/>
        </w:rPr>
        <w:t>2. </w:t>
      </w: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Uchwała wchodzi w życie z dniem 1 stycznia 2024 r.</w:t>
      </w:r>
    </w:p>
    <w:p w:rsidR="00A77B3E" w:rsidRPr="00516E72" w:rsidRDefault="00881B8F">
      <w:pPr>
        <w:keepNext/>
        <w:keepLines/>
        <w:spacing w:before="120" w:after="120"/>
        <w:ind w:left="283" w:firstLine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color w:val="000000"/>
          <w:sz w:val="20"/>
          <w:szCs w:val="20"/>
          <w:u w:color="000000"/>
        </w:rPr>
        <w:t>  </w:t>
      </w:r>
    </w:p>
    <w:p w:rsidR="00A77B3E" w:rsidRPr="00516E72" w:rsidRDefault="00881B8F">
      <w:pPr>
        <w:keepNext/>
        <w:rPr>
          <w:rFonts w:ascii="Tahoma" w:hAnsi="Tahoma" w:cs="Tahoma"/>
          <w:color w:val="000000"/>
          <w:sz w:val="20"/>
          <w:szCs w:val="20"/>
          <w:u w:color="000000"/>
        </w:rPr>
      </w:pPr>
      <w:r w:rsidRPr="00516E72">
        <w:rPr>
          <w:rFonts w:ascii="Tahoma" w:hAnsi="Tahoma" w:cs="Tahoma"/>
          <w:color w:val="000000"/>
          <w:sz w:val="20"/>
          <w:szCs w:val="2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F7174" w:rsidRPr="00516E7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F7174" w:rsidRPr="00516E72" w:rsidRDefault="001F7174">
            <w:pPr>
              <w:keepNext/>
              <w:keepLines/>
              <w:jc w:val="lef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F7174" w:rsidRPr="00516E72" w:rsidRDefault="00881B8F">
            <w:pPr>
              <w:keepNext/>
              <w:keepLines/>
              <w:spacing w:before="560" w:after="560"/>
              <w:ind w:left="1134" w:right="1134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16E72">
              <w:rPr>
                <w:rFonts w:ascii="Tahoma" w:hAnsi="Tahoma" w:cs="Tahoma"/>
                <w:color w:val="000000"/>
                <w:sz w:val="20"/>
                <w:szCs w:val="20"/>
              </w:rPr>
              <w:t>Przewodnicząca Rady Miejskiej</w:t>
            </w:r>
            <w:r w:rsidRPr="00516E72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  <w:r w:rsidRPr="00516E72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  <w:r w:rsidRPr="00516E72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  <w:r w:rsidRPr="00516E72">
              <w:rPr>
                <w:rFonts w:ascii="Tahoma" w:hAnsi="Tahoma" w:cs="Tahoma"/>
                <w:b/>
                <w:sz w:val="20"/>
                <w:szCs w:val="20"/>
              </w:rPr>
              <w:t>Bogusława Potocka</w:t>
            </w:r>
          </w:p>
        </w:tc>
      </w:tr>
    </w:tbl>
    <w:p w:rsidR="00A77B3E" w:rsidRPr="00516E72" w:rsidRDefault="00A77B3E">
      <w:pPr>
        <w:keepNext/>
        <w:rPr>
          <w:rFonts w:ascii="Tahoma" w:hAnsi="Tahoma" w:cs="Tahoma"/>
          <w:color w:val="000000"/>
          <w:sz w:val="20"/>
          <w:szCs w:val="20"/>
          <w:u w:color="000000"/>
        </w:rPr>
        <w:sectPr w:rsidR="00A77B3E" w:rsidRPr="00516E72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1F7174" w:rsidRPr="00516E72" w:rsidRDefault="001F7174">
      <w:pPr>
        <w:jc w:val="left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:rsidR="001F7174" w:rsidRPr="00516E72" w:rsidRDefault="00881B8F">
      <w:pPr>
        <w:spacing w:line="360" w:lineRule="auto"/>
        <w:jc w:val="center"/>
        <w:rPr>
          <w:rFonts w:ascii="Tahoma" w:hAnsi="Tahoma" w:cs="Tahoma"/>
          <w:b/>
          <w:caps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16E72">
        <w:rPr>
          <w:rFonts w:ascii="Tahoma" w:hAnsi="Tahoma" w:cs="Tahoma"/>
          <w:b/>
          <w:caps/>
          <w:color w:val="000000"/>
          <w:sz w:val="20"/>
          <w:szCs w:val="20"/>
          <w:shd w:val="clear" w:color="auto" w:fill="FFFFFF"/>
          <w:lang w:val="x-none" w:eastAsia="en-US" w:bidi="ar-SA"/>
        </w:rPr>
        <w:t>uzasadnienie</w:t>
      </w:r>
    </w:p>
    <w:p w:rsidR="001F7174" w:rsidRPr="00516E72" w:rsidRDefault="00881B8F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516E72">
        <w:rPr>
          <w:rFonts w:ascii="Tahoma" w:hAnsi="Tahoma" w:cs="Tahoma"/>
          <w:color w:val="000000"/>
          <w:sz w:val="20"/>
          <w:szCs w:val="20"/>
          <w:shd w:val="clear" w:color="auto" w:fill="FFFFFF"/>
        </w:rPr>
        <w:t>Zgodnie z art. 18 ust. 2 pkt 8 ustawy o samorządzie gminnym do wyłącznej właściwości rady gminy należy podejmowanie uchwał w sprawach podatków i opłat w granicach określonych w odrębnych ustawach, natomiast zgodnie z zapisami art. 40 ust. 1 w/w ustawy, na podstawie upoważnień ustawowych gminie przysługuje prawo stanowienia aktów prawa miejscowego obowiązującego na obszarze gminy.</w:t>
      </w:r>
    </w:p>
    <w:p w:rsidR="001F7174" w:rsidRPr="00516E72" w:rsidRDefault="00881B8F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516E7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Projekt uchwały w sprawie określenia wysokości stawek podatku od nieruchomości na terenie Gminy Miejskiej Lubin oraz zwolnień z tego podatku przewiduje na 2024 r. górne stawki podatku od nieruchomości podane w Obwieszczeniu Ministra Finansów z dnia 21.07.2023 r. w sprawie górnych granic stawek kwotowych podatków i opłat lokalnych na rok 2024 (M.P. z dnia 01.08.2023 r., poz. 774). </w:t>
      </w:r>
    </w:p>
    <w:p w:rsidR="001F7174" w:rsidRPr="00516E72" w:rsidRDefault="00881B8F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516E7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Górne granice stawek kwotowych, określone w art. 5 ust. 1 ustawy o podatkach i opłatach lokalnych, obowiązujące w danym roku podatkowym ulegają corocznie zmianie na następny rok podatkowy w stopniu odpowiadającym wskaźnikowi cen towarów i usług konsumpcyjnych w okresie pierwszego półrocza roku, w którym stawki ulegają zmianie w stosunku do analogicznego okresu roku poprzedniego. Minister właściwy do spraw finansów publicznych ogłasza ich wysokość w drodze obwieszczenia, w Dzienniku Urzędowym Rzeczypospolitej Polskiej "Monitor Polski", na każdy rok podatkowy z uwzględnieniem w/w zasady. </w:t>
      </w:r>
    </w:p>
    <w:p w:rsidR="001F7174" w:rsidRPr="00516E72" w:rsidRDefault="00881B8F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516E7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Zgodnie z komunikatem GUS z dnia 14.07.2023 r. opublikowanym w Monitorze Polskim z dnia 17.07.2023 r., poz. 713 - wskaźnik cen towarów i usług konsumpcyjnych w pierwszym półroczu 2023 r. w stosunku do pierwszego półrocza 2022 r. wyniósł 115% (wzrost cen o 15,0%), w związku z czym został on uwzględniony w zaproponowanych w projekcie uchwały stawkach podatku od nieruchomości na 2024 r. </w:t>
      </w:r>
    </w:p>
    <w:p w:rsidR="001F7174" w:rsidRPr="00516E72" w:rsidRDefault="00881B8F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516E72">
        <w:rPr>
          <w:rFonts w:ascii="Tahoma" w:hAnsi="Tahoma" w:cs="Tahoma"/>
          <w:color w:val="000000"/>
          <w:sz w:val="20"/>
          <w:szCs w:val="20"/>
          <w:shd w:val="clear" w:color="auto" w:fill="FFFFFF"/>
        </w:rPr>
        <w:t>Skutki zastosowanych zwolnień w podatku od nieruchomości na 2024 r. ogółem wynosić będą</w:t>
      </w:r>
      <w:r w:rsidR="00516E72">
        <w:rPr>
          <w:rFonts w:ascii="Tahoma" w:hAnsi="Tahoma" w:cs="Tahoma"/>
          <w:color w:val="000000"/>
          <w:sz w:val="20"/>
          <w:szCs w:val="20"/>
          <w:shd w:val="clear" w:color="auto" w:fill="FFFFFF"/>
        </w:rPr>
        <w:br/>
      </w:r>
      <w:r w:rsidRPr="00516E7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6.550.382,77 zł, w tym: powierzchnie mieszkalne - 2.290.335,87 zł (osoby prawne - 787.357,78 zł, osoby fizyczne - 1.502.978,09 zł), powierzchnie budynków pozostałych - 1.747.236,11 zł (osoby prawne - </w:t>
      </w:r>
      <w:r w:rsidR="00516E72">
        <w:rPr>
          <w:rFonts w:ascii="Tahoma" w:hAnsi="Tahoma" w:cs="Tahoma"/>
          <w:color w:val="000000"/>
          <w:sz w:val="20"/>
          <w:szCs w:val="20"/>
          <w:shd w:val="clear" w:color="auto" w:fill="FFFFFF"/>
        </w:rPr>
        <w:br/>
      </w:r>
      <w:r w:rsidRPr="00516E72">
        <w:rPr>
          <w:rFonts w:ascii="Tahoma" w:hAnsi="Tahoma" w:cs="Tahoma"/>
          <w:color w:val="000000"/>
          <w:sz w:val="20"/>
          <w:szCs w:val="20"/>
          <w:shd w:val="clear" w:color="auto" w:fill="FFFFFF"/>
        </w:rPr>
        <w:t>459.579,00 zł, osoby fizyczne - 1.287.657,11 zł), powierzchnie gruntów pozostałych - 2.512.803,22 zł (osoby prawne - 841.388,46 zł, osoby fizyczne - 1.671.414,76 zł), powierzchnie gruntów pod wodami powierzchniowymi stojącymi lub wodami powierzchniowymi płynącymi jezior i zbiorników sztucznych - 7,57 zł (osoby prawne - 7,57 zł, osoby fizyczne - 0,00 zł).</w:t>
      </w:r>
    </w:p>
    <w:p w:rsidR="001F7174" w:rsidRPr="00516E72" w:rsidRDefault="00881B8F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516E7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Nadmienić należy, iż opodatkowaniu podatkiem od nieruchomości nadal będą podlegać grunty związane </w:t>
      </w:r>
      <w:r w:rsidR="00516E72">
        <w:rPr>
          <w:rFonts w:ascii="Tahoma" w:hAnsi="Tahoma" w:cs="Tahoma"/>
          <w:color w:val="000000"/>
          <w:sz w:val="20"/>
          <w:szCs w:val="20"/>
          <w:shd w:val="clear" w:color="auto" w:fill="FFFFFF"/>
        </w:rPr>
        <w:br/>
      </w:r>
      <w:r w:rsidRPr="00516E72">
        <w:rPr>
          <w:rFonts w:ascii="Tahoma" w:hAnsi="Tahoma" w:cs="Tahoma"/>
          <w:color w:val="000000"/>
          <w:sz w:val="20"/>
          <w:szCs w:val="20"/>
          <w:shd w:val="clear" w:color="auto" w:fill="FFFFFF"/>
        </w:rPr>
        <w:t>z prowadzeniem działalności gospodarczej, grunty niezabudowane objęte obszarem rewitalizacji, budynki lub ich części związane z prowadzeniem działalności gospodarczej oraz budynki mieszkalne lub ich części zajęte na prowadzenie działalności gospodarczej, budynki lub ich części związane z udzielaniem świadczeń zdrowotnych w rozumieniu przepisów o działalności leczniczej, zajęte przez podmioty udzielające tych świadczeń oraz budowle.</w:t>
      </w:r>
    </w:p>
    <w:sectPr w:rsidR="001F7174" w:rsidRPr="00516E72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174" w:rsidRDefault="00881B8F">
      <w:r>
        <w:separator/>
      </w:r>
    </w:p>
  </w:endnote>
  <w:endnote w:type="continuationSeparator" w:id="0">
    <w:p w:rsidR="001F7174" w:rsidRDefault="00881B8F">
      <w:r>
        <w:continuationSeparator/>
      </w:r>
    </w:p>
  </w:endnote>
  <w:endnote w:id="1">
    <w:p w:rsidR="001F7174" w:rsidRDefault="00881B8F">
      <w:pPr>
        <w:pStyle w:val="Tekstprzypisukocowego"/>
        <w:keepLines/>
        <w:ind w:left="170" w:hanging="170"/>
      </w:pPr>
      <w:r>
        <w:rPr>
          <w:rStyle w:val="Odwoanieprzypisukocowego"/>
        </w:rPr>
        <w:t>[1] </w:t>
      </w:r>
      <w:r>
        <w:t>Niniejsza ustawa dokonuje w zakresie swojej regulacji wdrożenia następujących dyrektyw Wspólnot Europejskich: 1) dyrektywy 92/106/EWG z dnia 7 grudnia 1992 r. w sprawie ustanpwienia wspólnych zasad dla niektórych typów transportu kombinowanego towarów między państwami członkowskimi (Dz.Urz.WE L 368 z 17.12.1992 r.), 2) dyrektywy1999/62/WE z dnia 17 czerwca 1999 r. w sprawie pobierania opłat za użytkowanie niektórych typów infrastruktury przez pojazdy ciężarowe (Dz.Urz. WE L 187 z 20.07.1999). Dane dotyczące aktów prawa Unii Europejskiej, zamieszczone w niniejszej ustawie – z dniem uzyskania przez Rzeczpospolitą Polską członkostwa w Unii Europejskiej – dotyczą ogłoszenia tych aktów w Dzienniku Urzędowym Unii Europejskiej – wydanie specjalne.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1F7174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F7174" w:rsidRDefault="00881B8F">
          <w:pPr>
            <w:jc w:val="left"/>
            <w:rPr>
              <w:sz w:val="18"/>
            </w:rPr>
          </w:pPr>
          <w:r>
            <w:rPr>
              <w:sz w:val="18"/>
            </w:rPr>
            <w:t>Id: 52FA766F-0DCE-4F08-A9CA-39A03AB76465. Projekt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F7174" w:rsidRDefault="00881B8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43E8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1F7174" w:rsidRDefault="001F717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1F7174">
      <w:tc>
        <w:tcPr>
          <w:tcW w:w="6403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F7174" w:rsidRDefault="00881B8F">
          <w:pPr>
            <w:jc w:val="left"/>
            <w:rPr>
              <w:sz w:val="18"/>
            </w:rPr>
          </w:pPr>
          <w:r>
            <w:rPr>
              <w:sz w:val="18"/>
            </w:rPr>
            <w:t>Id: 52FA766F-0DCE-4F08-A9CA-39A03AB76465. Projekt</w:t>
          </w:r>
        </w:p>
      </w:tc>
      <w:tc>
        <w:tcPr>
          <w:tcW w:w="32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F7174" w:rsidRDefault="00881B8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43E8E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1F7174" w:rsidRDefault="001F717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19E" w:rsidRDefault="00881B8F">
      <w:r>
        <w:separator/>
      </w:r>
    </w:p>
  </w:footnote>
  <w:footnote w:type="continuationSeparator" w:id="0">
    <w:p w:rsidR="0065519E" w:rsidRDefault="00881B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43E8E"/>
    <w:rsid w:val="001F7174"/>
    <w:rsid w:val="00516E72"/>
    <w:rsid w:val="0065519E"/>
    <w:rsid w:val="00881B8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A9F29"/>
  <w15:docId w15:val="{5D4F0A19-5798-4E16-B5CF-C9C8872F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basedOn w:val="Domylnaczcionkaakapitu"/>
    <w:rsid w:val="00805BCE"/>
    <w:rPr>
      <w:vertAlign w:val="superscript"/>
    </w:rPr>
  </w:style>
  <w:style w:type="paragraph" w:styleId="Tekstprzypisukocowego">
    <w:name w:val="endnote text"/>
    <w:basedOn w:val="Normalny"/>
    <w:rsid w:val="00805BCE"/>
    <w:rPr>
      <w:sz w:val="20"/>
      <w:szCs w:val="20"/>
    </w:rPr>
  </w:style>
  <w:style w:type="paragraph" w:customStyle="1" w:styleId="Standard">
    <w:name w:val="Standard"/>
    <w:rsid w:val="00043E8E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9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981</Words>
  <Characters>5791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Lubinie</Company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wysokości stawek podatku od nieruchomości na terenie Gminy Miejskiej Lubin oraz zwolnień z^tego podatku.</dc:subject>
  <dc:creator>adzwonczyk</dc:creator>
  <cp:lastModifiedBy>Joanna Kania</cp:lastModifiedBy>
  <cp:revision>3</cp:revision>
  <dcterms:created xsi:type="dcterms:W3CDTF">2023-11-14T13:47:00Z</dcterms:created>
  <dcterms:modified xsi:type="dcterms:W3CDTF">2023-11-14T13:59:00Z</dcterms:modified>
  <cp:category>Akt prawny</cp:category>
</cp:coreProperties>
</file>